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w:t>
      </w:r>
      <w:r w:rsidR="00B47DFA">
        <w:rPr>
          <w:rFonts w:eastAsiaTheme="minorEastAsia" w:hint="eastAsia"/>
          <w:b/>
          <w:sz w:val="22"/>
          <w:szCs w:val="22"/>
          <w:lang w:eastAsia="zh-CN"/>
        </w:rPr>
        <w:t>89</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B47DFA" w:rsidRPr="00402BF4">
        <w:rPr>
          <w:rFonts w:eastAsia="SimSun"/>
          <w:b/>
          <w:sz w:val="22"/>
          <w:szCs w:val="22"/>
          <w:lang w:eastAsia="zh-CN"/>
        </w:rPr>
        <w:t>1</w:t>
      </w:r>
      <w:r w:rsidR="00B47DFA">
        <w:rPr>
          <w:rFonts w:eastAsiaTheme="minorEastAsia" w:hint="eastAsia"/>
          <w:b/>
          <w:sz w:val="22"/>
          <w:szCs w:val="22"/>
          <w:lang w:eastAsia="zh-CN"/>
        </w:rPr>
        <w:t>7</w:t>
      </w:r>
      <w:r w:rsidR="00D26B12">
        <w:rPr>
          <w:rFonts w:eastAsiaTheme="minorEastAsia"/>
          <w:b/>
          <w:sz w:val="22"/>
          <w:szCs w:val="22"/>
          <w:lang w:eastAsia="zh-CN"/>
        </w:rPr>
        <w:t>07175</w:t>
      </w:r>
    </w:p>
    <w:p w:rsidR="004B0769" w:rsidRPr="006E2006" w:rsidRDefault="00497275" w:rsidP="004B0769">
      <w:pPr>
        <w:pStyle w:val="CRCoverPage"/>
        <w:tabs>
          <w:tab w:val="right" w:pos="9639"/>
        </w:tabs>
        <w:spacing w:after="0"/>
        <w:jc w:val="both"/>
        <w:rPr>
          <w:b/>
          <w:sz w:val="22"/>
          <w:szCs w:val="22"/>
        </w:rPr>
      </w:pPr>
      <w:r>
        <w:rPr>
          <w:b/>
          <w:sz w:val="22"/>
          <w:szCs w:val="22"/>
        </w:rPr>
        <w:t>Hangzhou</w:t>
      </w:r>
      <w:r w:rsidR="004F379E" w:rsidRPr="004F379E">
        <w:rPr>
          <w:b/>
          <w:sz w:val="22"/>
          <w:szCs w:val="22"/>
        </w:rPr>
        <w:t xml:space="preserve">, </w:t>
      </w:r>
      <w:r>
        <w:rPr>
          <w:b/>
          <w:sz w:val="22"/>
          <w:szCs w:val="22"/>
        </w:rPr>
        <w:t>China,</w:t>
      </w:r>
      <w:r w:rsidR="004F379E" w:rsidRPr="004F379E">
        <w:rPr>
          <w:b/>
          <w:sz w:val="22"/>
          <w:szCs w:val="22"/>
        </w:rPr>
        <w:t xml:space="preserve"> </w:t>
      </w:r>
      <w:r>
        <w:rPr>
          <w:b/>
          <w:sz w:val="22"/>
          <w:szCs w:val="22"/>
        </w:rPr>
        <w:t>15th</w:t>
      </w:r>
      <w:r w:rsidR="004F379E" w:rsidRPr="004F379E">
        <w:rPr>
          <w:rFonts w:hint="eastAsia"/>
          <w:b/>
          <w:sz w:val="22"/>
          <w:szCs w:val="22"/>
        </w:rPr>
        <w:t xml:space="preserve"> </w:t>
      </w:r>
      <w:r w:rsidR="004F379E" w:rsidRPr="004F379E">
        <w:rPr>
          <w:b/>
          <w:sz w:val="22"/>
          <w:szCs w:val="22"/>
        </w:rPr>
        <w:t xml:space="preserve">- </w:t>
      </w:r>
      <w:r>
        <w:rPr>
          <w:b/>
          <w:sz w:val="22"/>
          <w:szCs w:val="22"/>
        </w:rPr>
        <w:t>19</w:t>
      </w:r>
      <w:r w:rsidR="004F379E" w:rsidRPr="004F379E">
        <w:rPr>
          <w:b/>
          <w:sz w:val="22"/>
          <w:szCs w:val="22"/>
        </w:rPr>
        <w:t xml:space="preserve">th </w:t>
      </w:r>
      <w:r>
        <w:rPr>
          <w:b/>
          <w:sz w:val="22"/>
          <w:szCs w:val="22"/>
        </w:rPr>
        <w:t>May</w:t>
      </w:r>
      <w:r w:rsidR="004F379E" w:rsidRPr="004F379E">
        <w:rPr>
          <w:b/>
          <w:sz w:val="22"/>
          <w:szCs w:val="22"/>
        </w:rPr>
        <w:t xml:space="preserve"> 201</w:t>
      </w:r>
      <w:r w:rsidR="004F379E" w:rsidRPr="004F379E">
        <w:rPr>
          <w:rFonts w:hint="eastAsia"/>
          <w:b/>
          <w:sz w:val="22"/>
          <w:szCs w:val="22"/>
        </w:rPr>
        <w:t>7</w:t>
      </w:r>
      <w:r w:rsidR="001E1E6F" w:rsidRPr="001E1E6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331187" w:rsidRDefault="00331187" w:rsidP="00331187">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p>
    <w:p w:rsidR="004B0769" w:rsidRPr="008545D3"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Title:</w:t>
      </w:r>
      <w:r w:rsidRPr="00DB6DCF">
        <w:rPr>
          <w:rFonts w:ascii="Arial" w:eastAsia="MS Mincho" w:hAnsi="Arial" w:cs="Arial"/>
          <w:b/>
          <w:sz w:val="24"/>
          <w:szCs w:val="24"/>
        </w:rPr>
        <w:tab/>
      </w:r>
      <w:r w:rsidR="00B47DFA">
        <w:rPr>
          <w:rFonts w:ascii="Arial" w:eastAsiaTheme="minorEastAsia" w:hAnsi="Arial" w:cs="Arial" w:hint="eastAsia"/>
          <w:b/>
          <w:sz w:val="24"/>
          <w:szCs w:val="24"/>
          <w:lang w:eastAsia="zh-CN"/>
        </w:rPr>
        <w:t>CBG</w:t>
      </w:r>
      <w:r w:rsidR="00D26B12">
        <w:rPr>
          <w:rFonts w:ascii="Arial" w:eastAsiaTheme="minorEastAsia" w:hAnsi="Arial" w:cs="Arial"/>
          <w:b/>
          <w:sz w:val="24"/>
          <w:szCs w:val="24"/>
          <w:lang w:eastAsia="zh-CN"/>
        </w:rPr>
        <w:t xml:space="preserve"> based transmissions</w:t>
      </w:r>
      <w:r w:rsidR="00652F16" w:rsidRPr="008545D3" w:rsidDel="00652F16">
        <w:rPr>
          <w:rFonts w:ascii="Arial" w:eastAsia="SimSun" w:hAnsi="Arial" w:cs="Arial"/>
          <w:b/>
          <w:sz w:val="24"/>
          <w:szCs w:val="24"/>
        </w:rPr>
        <w:t xml:space="preserve"> </w:t>
      </w:r>
      <w:r w:rsidR="00652F16" w:rsidRPr="008545D3">
        <w:rPr>
          <w:rFonts w:ascii="Arial" w:eastAsia="SimSun" w:hAnsi="Arial" w:cs="Arial" w:hint="eastAsia"/>
          <w:b/>
          <w:sz w:val="24"/>
          <w:szCs w:val="24"/>
        </w:rPr>
        <w:t xml:space="preserve"> </w:t>
      </w:r>
    </w:p>
    <w:p w:rsidR="004B0769" w:rsidRPr="004F379E"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D26B12">
        <w:rPr>
          <w:rFonts w:ascii="Arial" w:eastAsia="MS Mincho" w:hAnsi="Arial" w:cs="Arial"/>
          <w:b/>
          <w:sz w:val="24"/>
          <w:szCs w:val="24"/>
        </w:rPr>
        <w:t>7.1.3.3.5</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69792A"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0B332F" w:rsidRDefault="000B332F" w:rsidP="00FA2060">
      <w:pPr>
        <w:pStyle w:val="B1"/>
        <w:spacing w:after="120" w:line="240" w:lineRule="exact"/>
        <w:ind w:left="0" w:firstLine="0"/>
        <w:rPr>
          <w:szCs w:val="22"/>
        </w:rPr>
      </w:pPr>
      <w:r w:rsidRPr="00FA2060">
        <w:rPr>
          <w:szCs w:val="22"/>
        </w:rPr>
        <w:t xml:space="preserve">At the RAN1 </w:t>
      </w:r>
      <w:r w:rsidRPr="00FA2060">
        <w:rPr>
          <w:rFonts w:hint="eastAsia"/>
          <w:szCs w:val="22"/>
        </w:rPr>
        <w:t>#8</w:t>
      </w:r>
      <w:r w:rsidR="00D26B12">
        <w:rPr>
          <w:rFonts w:eastAsiaTheme="minorEastAsia"/>
          <w:szCs w:val="22"/>
          <w:lang w:eastAsia="zh-CN"/>
        </w:rPr>
        <w:t>8b</w:t>
      </w:r>
      <w:r w:rsidRPr="00FA2060">
        <w:rPr>
          <w:szCs w:val="22"/>
        </w:rPr>
        <w:t xml:space="preserve"> meeting, the following agreements were made regarding</w:t>
      </w:r>
      <w:r w:rsidR="008F1F15">
        <w:rPr>
          <w:iCs/>
          <w:lang w:eastAsia="ja-JP"/>
        </w:rPr>
        <w:t xml:space="preserve"> </w:t>
      </w:r>
      <w:r w:rsidR="00A117BB" w:rsidRPr="00155110">
        <w:rPr>
          <w:iCs/>
          <w:lang w:val="en-US" w:eastAsia="ja-JP"/>
        </w:rPr>
        <w:t xml:space="preserve">CBG-based </w:t>
      </w:r>
      <w:r w:rsidR="00D26B12">
        <w:rPr>
          <w:iCs/>
          <w:lang w:val="en-US" w:eastAsia="ja-JP"/>
        </w:rPr>
        <w:t>(</w:t>
      </w:r>
      <w:r w:rsidR="00A117BB">
        <w:rPr>
          <w:rFonts w:eastAsiaTheme="minorEastAsia" w:hint="eastAsia"/>
          <w:iCs/>
          <w:lang w:val="en-US" w:eastAsia="zh-CN"/>
        </w:rPr>
        <w:t>re</w:t>
      </w:r>
      <w:r w:rsidR="00D26B12">
        <w:rPr>
          <w:rFonts w:eastAsiaTheme="minorEastAsia"/>
          <w:iCs/>
          <w:lang w:val="en-US" w:eastAsia="zh-CN"/>
        </w:rPr>
        <w:t>)-</w:t>
      </w:r>
      <w:r w:rsidR="00A117BB" w:rsidRPr="00155110">
        <w:rPr>
          <w:iCs/>
          <w:lang w:val="en-US" w:eastAsia="ja-JP"/>
        </w:rPr>
        <w:t>transmission</w:t>
      </w:r>
      <w:r w:rsidR="008F1F15">
        <w:rPr>
          <w:iCs/>
          <w:lang w:val="en-US" w:eastAsia="ja-JP"/>
        </w:rPr>
        <w:t>s</w:t>
      </w:r>
      <w:r w:rsidR="00D26B12">
        <w:rPr>
          <w:iCs/>
          <w:lang w:val="en-US" w:eastAsia="ja-JP"/>
        </w:rPr>
        <w:t xml:space="preserve"> </w:t>
      </w:r>
      <w:fldSimple w:instr=" REF _Ref473384345 \r \h  \* MERGEFORMAT ">
        <w:r w:rsidRPr="00FA2060">
          <w:rPr>
            <w:szCs w:val="22"/>
          </w:rPr>
          <w:t>[1]</w:t>
        </w:r>
      </w:fldSimple>
      <w:r w:rsidRPr="00FA2060">
        <w:rPr>
          <w:szCs w:val="22"/>
        </w:rPr>
        <w:t>:</w:t>
      </w:r>
    </w:p>
    <w:tbl>
      <w:tblPr>
        <w:tblStyle w:val="TableGrid"/>
        <w:tblW w:w="0" w:type="auto"/>
        <w:tblLook w:val="04A0"/>
      </w:tblPr>
      <w:tblGrid>
        <w:gridCol w:w="959"/>
        <w:gridCol w:w="8536"/>
      </w:tblGrid>
      <w:tr w:rsidR="00DB4C7B" w:rsidTr="00DB4C7B">
        <w:tc>
          <w:tcPr>
            <w:tcW w:w="959" w:type="dxa"/>
          </w:tcPr>
          <w:p w:rsidR="00DB4C7B" w:rsidRPr="00DB4C7B" w:rsidRDefault="00DB4C7B" w:rsidP="00DB4C7B">
            <w:pPr>
              <w:pStyle w:val="B1"/>
              <w:spacing w:after="120" w:line="240" w:lineRule="exact"/>
              <w:ind w:left="0" w:firstLine="0"/>
              <w:jc w:val="center"/>
              <w:rPr>
                <w:b/>
                <w:szCs w:val="22"/>
              </w:rPr>
            </w:pPr>
            <w:r w:rsidRPr="00DB4C7B">
              <w:rPr>
                <w:b/>
                <w:szCs w:val="22"/>
              </w:rPr>
              <w:t>Nr</w:t>
            </w:r>
          </w:p>
        </w:tc>
        <w:tc>
          <w:tcPr>
            <w:tcW w:w="8536" w:type="dxa"/>
          </w:tcPr>
          <w:p w:rsidR="00DB4C7B" w:rsidRPr="00DB4C7B" w:rsidRDefault="00DB4C7B" w:rsidP="00DB4C7B">
            <w:pPr>
              <w:pStyle w:val="B1"/>
              <w:spacing w:after="120" w:line="240" w:lineRule="exact"/>
              <w:ind w:left="0" w:firstLine="0"/>
              <w:jc w:val="center"/>
              <w:rPr>
                <w:b/>
                <w:szCs w:val="22"/>
              </w:rPr>
            </w:pPr>
            <w:r w:rsidRPr="00DB4C7B">
              <w:rPr>
                <w:b/>
                <w:szCs w:val="22"/>
              </w:rPr>
              <w:t>Agreement</w:t>
            </w:r>
          </w:p>
        </w:tc>
      </w:tr>
      <w:tr w:rsidR="00DB4C7B" w:rsidTr="00DB4C7B">
        <w:tc>
          <w:tcPr>
            <w:tcW w:w="959" w:type="dxa"/>
          </w:tcPr>
          <w:p w:rsidR="00DB4C7B" w:rsidRDefault="00DB4C7B" w:rsidP="00FA2060">
            <w:pPr>
              <w:pStyle w:val="B1"/>
              <w:spacing w:after="120" w:line="240" w:lineRule="exact"/>
              <w:ind w:left="0" w:firstLine="0"/>
              <w:rPr>
                <w:szCs w:val="22"/>
              </w:rPr>
            </w:pPr>
            <w:r>
              <w:rPr>
                <w:szCs w:val="22"/>
              </w:rPr>
              <w:t>1</w:t>
            </w:r>
          </w:p>
        </w:tc>
        <w:tc>
          <w:tcPr>
            <w:tcW w:w="8536" w:type="dxa"/>
          </w:tcPr>
          <w:p w:rsidR="00DB4C7B" w:rsidRDefault="00DB4C7B" w:rsidP="00DB4C7B">
            <w:pPr>
              <w:rPr>
                <w:rFonts w:eastAsia="MS Mincho"/>
                <w:iCs/>
                <w:lang w:val="en-US" w:eastAsia="ja-JP"/>
              </w:rPr>
            </w:pPr>
            <w:r w:rsidRPr="004C32E0">
              <w:rPr>
                <w:rFonts w:eastAsia="MS Mincho"/>
                <w:highlight w:val="green"/>
              </w:rPr>
              <w:t>Agreements</w:t>
            </w:r>
            <w:r w:rsidRPr="00155110">
              <w:rPr>
                <w:rFonts w:eastAsia="MS Mincho" w:hint="eastAsia"/>
                <w:iCs/>
                <w:highlight w:val="green"/>
                <w:lang w:val="en-US" w:eastAsia="ja-JP"/>
              </w:rPr>
              <w:t>:</w:t>
            </w:r>
          </w:p>
          <w:p w:rsidR="00DB4C7B" w:rsidRPr="00155110" w:rsidRDefault="00DB4C7B" w:rsidP="00DB4C7B">
            <w:pPr>
              <w:numPr>
                <w:ilvl w:val="0"/>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Confirm the working assumption as below.</w:t>
            </w:r>
          </w:p>
          <w:p w:rsidR="00DB4C7B" w:rsidRPr="00155110" w:rsidRDefault="00DB4C7B" w:rsidP="00DB4C7B">
            <w:pPr>
              <w:numPr>
                <w:ilvl w:val="1"/>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rsidR="00DB4C7B" w:rsidRPr="00155110" w:rsidRDefault="00DB4C7B" w:rsidP="00DB4C7B">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rsidR="00DB4C7B" w:rsidRPr="00155110" w:rsidRDefault="00DB4C7B" w:rsidP="00DB4C7B">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rsidR="00DB4C7B" w:rsidRPr="00155110" w:rsidRDefault="00DB4C7B" w:rsidP="00DB4C7B">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can include one CB</w:t>
            </w:r>
          </w:p>
          <w:p w:rsidR="00DB4C7B" w:rsidRPr="00DB4C7B" w:rsidRDefault="00DB4C7B" w:rsidP="00DB4C7B">
            <w:pPr>
              <w:numPr>
                <w:ilvl w:val="2"/>
                <w:numId w:val="16"/>
              </w:numPr>
              <w:overflowPunct/>
              <w:autoSpaceDE/>
              <w:autoSpaceDN/>
              <w:adjustRightInd/>
              <w:spacing w:after="0"/>
              <w:jc w:val="left"/>
              <w:textAlignment w:val="auto"/>
              <w:rPr>
                <w:rFonts w:eastAsia="MS Mincho"/>
                <w:iCs/>
                <w:lang w:val="en-US" w:eastAsia="ja-JP"/>
              </w:rPr>
            </w:pPr>
            <w:r w:rsidRPr="00155110">
              <w:rPr>
                <w:rFonts w:eastAsia="MS Mincho"/>
                <w:iCs/>
                <w:lang w:val="en-US" w:eastAsia="ja-JP"/>
              </w:rPr>
              <w:t>CBG granularity is configurable</w:t>
            </w:r>
          </w:p>
        </w:tc>
      </w:tr>
      <w:tr w:rsidR="00DB4C7B" w:rsidTr="00DB4C7B">
        <w:tc>
          <w:tcPr>
            <w:tcW w:w="959" w:type="dxa"/>
          </w:tcPr>
          <w:p w:rsidR="00DB4C7B" w:rsidRDefault="00DB4C7B" w:rsidP="00FA2060">
            <w:pPr>
              <w:pStyle w:val="B1"/>
              <w:spacing w:after="120" w:line="240" w:lineRule="exact"/>
              <w:ind w:left="0" w:firstLine="0"/>
              <w:rPr>
                <w:szCs w:val="22"/>
              </w:rPr>
            </w:pPr>
            <w:r>
              <w:rPr>
                <w:szCs w:val="22"/>
              </w:rPr>
              <w:t>2</w:t>
            </w:r>
          </w:p>
        </w:tc>
        <w:tc>
          <w:tcPr>
            <w:tcW w:w="8536" w:type="dxa"/>
          </w:tcPr>
          <w:p w:rsidR="00DB4C7B" w:rsidRDefault="00DB4C7B" w:rsidP="00DB4C7B">
            <w:pPr>
              <w:rPr>
                <w:highlight w:val="green"/>
              </w:rPr>
            </w:pPr>
            <w:r w:rsidRPr="004C32E0">
              <w:rPr>
                <w:highlight w:val="green"/>
              </w:rPr>
              <w:t>Agreements:</w:t>
            </w:r>
          </w:p>
          <w:p w:rsidR="00DB4C7B" w:rsidRPr="008B0BC5" w:rsidRDefault="00DB4C7B" w:rsidP="00DB4C7B">
            <w:pPr>
              <w:numPr>
                <w:ilvl w:val="0"/>
                <w:numId w:val="17"/>
              </w:numPr>
              <w:overflowPunct/>
              <w:autoSpaceDE/>
              <w:autoSpaceDN/>
              <w:adjustRightInd/>
              <w:spacing w:after="0"/>
              <w:jc w:val="left"/>
              <w:textAlignment w:val="auto"/>
              <w:rPr>
                <w:rFonts w:eastAsia="MS Mincho"/>
                <w:iCs/>
                <w:lang w:val="en-US" w:eastAsia="ja-JP"/>
              </w:rPr>
            </w:pPr>
            <w:r w:rsidRPr="008B0BC5">
              <w:rPr>
                <w:rFonts w:eastAsia="MS Mincho"/>
                <w:iCs/>
                <w:lang w:val="en-US" w:eastAsia="ja-JP"/>
              </w:rPr>
              <w:t>The UE is semi-statically configured by RRC signaling to enable CBG-based retransmission.</w:t>
            </w:r>
          </w:p>
          <w:p w:rsidR="00DB4C7B" w:rsidRPr="008B0BC5" w:rsidRDefault="00DB4C7B" w:rsidP="00DB4C7B">
            <w:pPr>
              <w:numPr>
                <w:ilvl w:val="0"/>
                <w:numId w:val="17"/>
              </w:numPr>
              <w:overflowPunct/>
              <w:autoSpaceDE/>
              <w:autoSpaceDN/>
              <w:adjustRightInd/>
              <w:spacing w:after="0"/>
              <w:jc w:val="left"/>
              <w:textAlignment w:val="auto"/>
              <w:rPr>
                <w:rFonts w:eastAsia="MS Mincho"/>
                <w:iCs/>
                <w:lang w:val="en-US" w:eastAsia="ja-JP"/>
              </w:rPr>
            </w:pPr>
            <w:r w:rsidRPr="008B0BC5">
              <w:rPr>
                <w:rFonts w:eastAsia="MS Mincho"/>
                <w:iCs/>
                <w:lang w:val="en-US" w:eastAsia="ja-JP"/>
              </w:rPr>
              <w:t xml:space="preserve">The above </w:t>
            </w:r>
            <w:r>
              <w:rPr>
                <w:rFonts w:eastAsia="MS Mincho" w:hint="eastAsia"/>
                <w:iCs/>
                <w:lang w:val="en-US" w:eastAsia="ja-JP"/>
              </w:rPr>
              <w:t xml:space="preserve">semi-static </w:t>
            </w:r>
            <w:r w:rsidRPr="008B0BC5">
              <w:rPr>
                <w:rFonts w:eastAsia="MS Mincho"/>
                <w:iCs/>
                <w:lang w:val="en-US" w:eastAsia="ja-JP"/>
              </w:rPr>
              <w:t>configuration to enable CBG-based retransmission is separate for DL and UL.</w:t>
            </w:r>
          </w:p>
          <w:p w:rsidR="00DB4C7B" w:rsidRPr="00DB4C7B" w:rsidRDefault="00DB4C7B" w:rsidP="00FA2060">
            <w:pPr>
              <w:pStyle w:val="B1"/>
              <w:spacing w:after="120" w:line="240" w:lineRule="exact"/>
              <w:ind w:left="0" w:firstLine="0"/>
              <w:rPr>
                <w:szCs w:val="22"/>
                <w:lang w:val="en-US"/>
              </w:rPr>
            </w:pPr>
          </w:p>
        </w:tc>
      </w:tr>
      <w:tr w:rsidR="00DB4C7B" w:rsidTr="00DB4C7B">
        <w:tc>
          <w:tcPr>
            <w:tcW w:w="959" w:type="dxa"/>
          </w:tcPr>
          <w:p w:rsidR="00DB4C7B" w:rsidRDefault="00DB4C7B" w:rsidP="00FA2060">
            <w:pPr>
              <w:pStyle w:val="B1"/>
              <w:spacing w:after="120" w:line="240" w:lineRule="exact"/>
              <w:ind w:left="0" w:firstLine="0"/>
              <w:rPr>
                <w:szCs w:val="22"/>
              </w:rPr>
            </w:pPr>
            <w:r>
              <w:rPr>
                <w:szCs w:val="22"/>
              </w:rPr>
              <w:t>3</w:t>
            </w:r>
          </w:p>
        </w:tc>
        <w:tc>
          <w:tcPr>
            <w:tcW w:w="8536" w:type="dxa"/>
          </w:tcPr>
          <w:p w:rsidR="00DB4C7B" w:rsidRDefault="00DB4C7B" w:rsidP="00DB4C7B">
            <w:pPr>
              <w:rPr>
                <w:highlight w:val="green"/>
              </w:rPr>
            </w:pPr>
            <w:r w:rsidRPr="004C32E0">
              <w:rPr>
                <w:highlight w:val="green"/>
              </w:rPr>
              <w:t>Agreements:</w:t>
            </w:r>
          </w:p>
          <w:p w:rsidR="00DB4C7B" w:rsidRDefault="00DB4C7B" w:rsidP="00DB4C7B">
            <w:pPr>
              <w:numPr>
                <w:ilvl w:val="0"/>
                <w:numId w:val="17"/>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For grouping CB(s) into CBG(s), the following options can be considered.</w:t>
            </w:r>
          </w:p>
          <w:p w:rsidR="00DB4C7B" w:rsidRPr="0065763E" w:rsidRDefault="00DB4C7B" w:rsidP="00DB4C7B">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Option 1: With configured number of CBGs, the number of CBs in a CBG changes according to TBS.</w:t>
            </w:r>
          </w:p>
          <w:p w:rsidR="00DB4C7B" w:rsidRPr="0065763E" w:rsidRDefault="00DB4C7B" w:rsidP="00DB4C7B">
            <w:pPr>
              <w:numPr>
                <w:ilvl w:val="2"/>
                <w:numId w:val="18"/>
              </w:numPr>
              <w:tabs>
                <w:tab w:val="num" w:pos="2160"/>
              </w:tabs>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for the case of re-transmission or the case when the number of CBs is smaller than the configured number of CBGs</w:t>
            </w:r>
          </w:p>
          <w:p w:rsidR="00DB4C7B" w:rsidRPr="0065763E" w:rsidRDefault="00DB4C7B" w:rsidP="00DB4C7B">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Option 2: With configured number of CBs per CBG, the number of CBGs changes according to TBS.</w:t>
            </w:r>
          </w:p>
          <w:p w:rsidR="00DB4C7B" w:rsidRPr="0065763E" w:rsidRDefault="00DB4C7B" w:rsidP="00DB4C7B">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Option 3: The number of CBGs and/or the number CBs per CBG are defined according to TBS.</w:t>
            </w:r>
          </w:p>
          <w:p w:rsidR="00DB4C7B" w:rsidRPr="0065763E" w:rsidRDefault="00DB4C7B" w:rsidP="00DB4C7B">
            <w:pPr>
              <w:numPr>
                <w:ilvl w:val="2"/>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for the case of re-transmission</w:t>
            </w:r>
          </w:p>
          <w:p w:rsidR="00DB4C7B" w:rsidRPr="0065763E" w:rsidRDefault="00DB4C7B" w:rsidP="00DB4C7B">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on details of each option</w:t>
            </w:r>
          </w:p>
          <w:p w:rsidR="00DB4C7B" w:rsidRPr="0065763E" w:rsidRDefault="00DB4C7B" w:rsidP="00DB4C7B">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FFS: CBG is approximately aligned with symbol(s)</w:t>
            </w:r>
          </w:p>
          <w:p w:rsidR="00DB4C7B" w:rsidRPr="00DB4C7B" w:rsidRDefault="00DB4C7B" w:rsidP="00DB4C7B">
            <w:pPr>
              <w:numPr>
                <w:ilvl w:val="1"/>
                <w:numId w:val="18"/>
              </w:numPr>
              <w:overflowPunct/>
              <w:autoSpaceDE/>
              <w:autoSpaceDN/>
              <w:adjustRightInd/>
              <w:spacing w:after="0"/>
              <w:jc w:val="left"/>
              <w:textAlignment w:val="auto"/>
              <w:rPr>
                <w:rFonts w:eastAsia="MS Mincho"/>
                <w:iCs/>
                <w:lang w:val="en-US" w:eastAsia="ja-JP"/>
              </w:rPr>
            </w:pPr>
            <w:r w:rsidRPr="0065763E">
              <w:rPr>
                <w:rFonts w:eastAsia="MS Mincho"/>
                <w:iCs/>
                <w:lang w:val="en-US" w:eastAsia="ja-JP"/>
              </w:rPr>
              <w:t>Other options are not precluded</w:t>
            </w:r>
          </w:p>
        </w:tc>
      </w:tr>
      <w:tr w:rsidR="00DB4C7B" w:rsidTr="00DB4C7B">
        <w:tc>
          <w:tcPr>
            <w:tcW w:w="959" w:type="dxa"/>
          </w:tcPr>
          <w:p w:rsidR="00DB4C7B" w:rsidRDefault="00D26B12" w:rsidP="00FA2060">
            <w:pPr>
              <w:pStyle w:val="B1"/>
              <w:spacing w:after="120" w:line="240" w:lineRule="exact"/>
              <w:ind w:left="0" w:firstLine="0"/>
              <w:rPr>
                <w:szCs w:val="22"/>
              </w:rPr>
            </w:pPr>
            <w:r>
              <w:rPr>
                <w:szCs w:val="22"/>
              </w:rPr>
              <w:lastRenderedPageBreak/>
              <w:t>4</w:t>
            </w:r>
          </w:p>
        </w:tc>
        <w:tc>
          <w:tcPr>
            <w:tcW w:w="8536" w:type="dxa"/>
          </w:tcPr>
          <w:p w:rsidR="00DB4C7B" w:rsidRDefault="00DB4C7B" w:rsidP="00DB4C7B">
            <w:pPr>
              <w:rPr>
                <w:highlight w:val="green"/>
              </w:rPr>
            </w:pPr>
            <w:r w:rsidRPr="004C32E0">
              <w:rPr>
                <w:highlight w:val="green"/>
              </w:rPr>
              <w:t>Agreements:</w:t>
            </w:r>
          </w:p>
          <w:p w:rsidR="00DB4C7B" w:rsidRPr="00EA150A" w:rsidRDefault="00DB4C7B" w:rsidP="00DB4C7B">
            <w:pPr>
              <w:numPr>
                <w:ilvl w:val="0"/>
                <w:numId w:val="20"/>
              </w:numPr>
              <w:overflowPunct/>
              <w:autoSpaceDE/>
              <w:autoSpaceDN/>
              <w:adjustRightInd/>
              <w:spacing w:after="0"/>
              <w:jc w:val="left"/>
              <w:textAlignment w:val="auto"/>
              <w:rPr>
                <w:rFonts w:eastAsia="MS Mincho"/>
                <w:iCs/>
                <w:lang w:val="en-US" w:eastAsia="ja-JP"/>
              </w:rPr>
            </w:pPr>
            <w:r w:rsidRPr="00EA150A">
              <w:rPr>
                <w:rFonts w:eastAsia="MS Mincho" w:hint="eastAsia"/>
                <w:iCs/>
                <w:lang w:val="en-US" w:eastAsia="ja-JP"/>
              </w:rPr>
              <w:t xml:space="preserve">HARQ-ACK multiplexing for multiple PDSCHs </w:t>
            </w:r>
            <w:r w:rsidRPr="00EA150A">
              <w:rPr>
                <w:rFonts w:eastAsia="MS Mincho"/>
                <w:iCs/>
                <w:lang w:val="en-US" w:eastAsia="ja-JP"/>
              </w:rPr>
              <w:t xml:space="preserve">of one or more carriers </w:t>
            </w:r>
            <w:r w:rsidRPr="00EA150A">
              <w:rPr>
                <w:rFonts w:eastAsia="MS Mincho" w:hint="eastAsia"/>
                <w:iCs/>
                <w:lang w:val="en-US" w:eastAsia="ja-JP"/>
              </w:rPr>
              <w:t>is supported.</w:t>
            </w:r>
          </w:p>
          <w:p w:rsidR="00DB4C7B" w:rsidRPr="00EA150A" w:rsidRDefault="00DB4C7B" w:rsidP="00DB4C7B">
            <w:pPr>
              <w:numPr>
                <w:ilvl w:val="1"/>
                <w:numId w:val="20"/>
              </w:numPr>
              <w:overflowPunct/>
              <w:autoSpaceDE/>
              <w:autoSpaceDN/>
              <w:adjustRightInd/>
              <w:spacing w:after="0"/>
              <w:jc w:val="left"/>
              <w:textAlignment w:val="auto"/>
              <w:rPr>
                <w:rFonts w:eastAsia="MS Mincho"/>
                <w:iCs/>
                <w:lang w:val="en-US" w:eastAsia="ja-JP"/>
              </w:rPr>
            </w:pPr>
            <w:r w:rsidRPr="00EA150A">
              <w:rPr>
                <w:rFonts w:eastAsia="MS Mincho"/>
                <w:iCs/>
                <w:lang w:val="en-US" w:eastAsia="ja-JP"/>
              </w:rPr>
              <w:t>FFS: in case of CBG-based re-transmission.</w:t>
            </w:r>
          </w:p>
          <w:p w:rsidR="00DB4C7B" w:rsidRPr="00DB4C7B" w:rsidRDefault="00DB4C7B" w:rsidP="00FA2060">
            <w:pPr>
              <w:pStyle w:val="B1"/>
              <w:spacing w:after="120" w:line="240" w:lineRule="exact"/>
              <w:ind w:left="0" w:firstLine="0"/>
              <w:rPr>
                <w:szCs w:val="22"/>
                <w:lang w:val="en-US"/>
              </w:rPr>
            </w:pPr>
          </w:p>
        </w:tc>
      </w:tr>
    </w:tbl>
    <w:p w:rsidR="00DB4C7B" w:rsidRDefault="00DB4C7B" w:rsidP="00FA2060">
      <w:pPr>
        <w:pStyle w:val="B1"/>
        <w:spacing w:after="120" w:line="240" w:lineRule="exact"/>
        <w:ind w:left="0" w:firstLine="0"/>
        <w:rPr>
          <w:szCs w:val="22"/>
        </w:rPr>
      </w:pPr>
    </w:p>
    <w:p w:rsidR="008501D6" w:rsidRDefault="004C32E0">
      <w:pPr>
        <w:pStyle w:val="B1"/>
        <w:spacing w:after="120" w:line="240" w:lineRule="exact"/>
        <w:ind w:left="0" w:firstLine="0"/>
        <w:rPr>
          <w:szCs w:val="22"/>
        </w:rPr>
      </w:pPr>
      <w:r w:rsidRPr="004C32E0">
        <w:rPr>
          <w:szCs w:val="22"/>
        </w:rPr>
        <w:t xml:space="preserve">Based on </w:t>
      </w:r>
      <w:r w:rsidR="006E238D" w:rsidRPr="006E238D">
        <w:rPr>
          <w:szCs w:val="22"/>
        </w:rPr>
        <w:t xml:space="preserve">the above </w:t>
      </w:r>
      <w:r w:rsidR="006E238D" w:rsidRPr="00FA2060">
        <w:rPr>
          <w:szCs w:val="22"/>
        </w:rPr>
        <w:t>agreements</w:t>
      </w:r>
      <w:r w:rsidRPr="004C32E0">
        <w:rPr>
          <w:szCs w:val="22"/>
        </w:rPr>
        <w:t>, thi</w:t>
      </w:r>
      <w:r w:rsidR="00951BCE">
        <w:rPr>
          <w:szCs w:val="22"/>
        </w:rPr>
        <w:t>s contribution considers remaining</w:t>
      </w:r>
      <w:r w:rsidRPr="004C32E0">
        <w:rPr>
          <w:szCs w:val="22"/>
        </w:rPr>
        <w:t xml:space="preserve"> issues to</w:t>
      </w:r>
      <w:r w:rsidR="00951BCE">
        <w:rPr>
          <w:szCs w:val="22"/>
        </w:rPr>
        <w:t xml:space="preserve"> be resolved for the support of </w:t>
      </w:r>
      <w:r w:rsidRPr="004C32E0">
        <w:rPr>
          <w:szCs w:val="22"/>
        </w:rPr>
        <w:t xml:space="preserve">CBG-based </w:t>
      </w:r>
      <w:r w:rsidR="00951BCE">
        <w:rPr>
          <w:szCs w:val="22"/>
        </w:rPr>
        <w:t>(</w:t>
      </w:r>
      <w:r w:rsidRPr="004C32E0">
        <w:rPr>
          <w:szCs w:val="22"/>
        </w:rPr>
        <w:t>re</w:t>
      </w:r>
      <w:r w:rsidR="00951BCE">
        <w:rPr>
          <w:szCs w:val="22"/>
        </w:rPr>
        <w:t>)-</w:t>
      </w:r>
      <w:r w:rsidRPr="004C32E0">
        <w:rPr>
          <w:szCs w:val="22"/>
        </w:rPr>
        <w:t>transmission</w:t>
      </w:r>
      <w:r w:rsidR="00951BCE">
        <w:rPr>
          <w:szCs w:val="22"/>
        </w:rPr>
        <w:t>s</w:t>
      </w:r>
      <w:r w:rsidRPr="004C32E0">
        <w:rPr>
          <w:szCs w:val="22"/>
        </w:rPr>
        <w:t xml:space="preserve"> in NR. </w:t>
      </w:r>
    </w:p>
    <w:p w:rsidR="0069792A" w:rsidRDefault="00864242">
      <w:pPr>
        <w:pStyle w:val="Heading1"/>
        <w:numPr>
          <w:ilvl w:val="0"/>
          <w:numId w:val="6"/>
        </w:numPr>
        <w:overflowPunct/>
        <w:autoSpaceDE/>
        <w:autoSpaceDN/>
        <w:adjustRightInd/>
        <w:spacing w:before="120" w:after="0"/>
        <w:textAlignment w:val="auto"/>
        <w:rPr>
          <w:rFonts w:eastAsia="SimSun" w:cs="Arial"/>
          <w:b/>
          <w:sz w:val="32"/>
          <w:szCs w:val="32"/>
          <w:lang w:eastAsia="zh-CN"/>
        </w:rPr>
      </w:pPr>
      <w:r w:rsidRPr="00B0121F">
        <w:rPr>
          <w:rFonts w:hint="eastAsia"/>
          <w:sz w:val="32"/>
          <w:szCs w:val="32"/>
          <w:lang w:val="en-US" w:eastAsia="ko-KR"/>
        </w:rPr>
        <w:t>Discussions</w:t>
      </w: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CC3C12" w:rsidRDefault="005F3014">
      <w:pPr>
        <w:pStyle w:val="Heading2"/>
      </w:pPr>
      <w:r>
        <w:t>I</w:t>
      </w:r>
      <w:r w:rsidR="008D1DC6">
        <w:t>dentification</w:t>
      </w:r>
      <w:r w:rsidR="00CC3C12">
        <w:t xml:space="preserve"> of Code Block Groups</w:t>
      </w:r>
    </w:p>
    <w:p w:rsidR="00761F85" w:rsidRDefault="008D1DC6" w:rsidP="00451050">
      <w:pPr>
        <w:spacing w:after="120"/>
        <w:rPr>
          <w:szCs w:val="22"/>
          <w:lang w:val="en-US"/>
        </w:rPr>
      </w:pPr>
      <w:r>
        <w:rPr>
          <w:szCs w:val="22"/>
          <w:lang w:val="en-US"/>
        </w:rPr>
        <w:t xml:space="preserve">So far in RAN1 </w:t>
      </w:r>
      <w:r w:rsidR="00951BCE">
        <w:rPr>
          <w:szCs w:val="22"/>
          <w:lang w:val="en-US"/>
        </w:rPr>
        <w:t xml:space="preserve">has agreed that CBGs are supported, but it is still open </w:t>
      </w:r>
      <w:r>
        <w:rPr>
          <w:szCs w:val="22"/>
          <w:lang w:val="en-US"/>
        </w:rPr>
        <w:t>how to identify</w:t>
      </w:r>
      <w:r w:rsidR="00951BCE">
        <w:rPr>
          <w:szCs w:val="22"/>
          <w:lang w:val="en-US"/>
        </w:rPr>
        <w:t xml:space="preserve"> or index</w:t>
      </w:r>
      <w:r>
        <w:rPr>
          <w:szCs w:val="22"/>
          <w:lang w:val="en-US"/>
        </w:rPr>
        <w:t xml:space="preserve"> </w:t>
      </w:r>
      <w:r w:rsidR="00451050">
        <w:rPr>
          <w:szCs w:val="22"/>
          <w:lang w:val="en-US"/>
        </w:rPr>
        <w:t>the Code Block Groups</w:t>
      </w:r>
      <w:r w:rsidR="00951BCE">
        <w:rPr>
          <w:szCs w:val="22"/>
          <w:lang w:val="en-US"/>
        </w:rPr>
        <w:t xml:space="preserve"> during operation. T</w:t>
      </w:r>
      <w:r>
        <w:rPr>
          <w:szCs w:val="22"/>
          <w:lang w:val="en-US"/>
        </w:rPr>
        <w:t xml:space="preserve">his </w:t>
      </w:r>
      <w:r w:rsidR="00951BCE">
        <w:rPr>
          <w:szCs w:val="22"/>
          <w:lang w:val="en-US"/>
        </w:rPr>
        <w:t xml:space="preserve">remains to be decided </w:t>
      </w:r>
      <w:r>
        <w:rPr>
          <w:szCs w:val="22"/>
          <w:lang w:val="en-US"/>
        </w:rPr>
        <w:t xml:space="preserve">both for the </w:t>
      </w:r>
      <w:r w:rsidR="00761F85">
        <w:rPr>
          <w:szCs w:val="22"/>
          <w:lang w:val="en-US"/>
        </w:rPr>
        <w:t xml:space="preserve">feedback mechanism and </w:t>
      </w:r>
      <w:r w:rsidR="00951BCE">
        <w:rPr>
          <w:szCs w:val="22"/>
          <w:lang w:val="en-US"/>
        </w:rPr>
        <w:t>also on</w:t>
      </w:r>
      <w:r w:rsidR="00761F85">
        <w:rPr>
          <w:szCs w:val="22"/>
          <w:lang w:val="en-US"/>
        </w:rPr>
        <w:t xml:space="preserve"> the transmitter side.</w:t>
      </w:r>
    </w:p>
    <w:p w:rsidR="00D61A71" w:rsidRDefault="00761F85" w:rsidP="00451050">
      <w:pPr>
        <w:spacing w:after="120"/>
        <w:rPr>
          <w:szCs w:val="22"/>
          <w:lang w:val="en-US"/>
        </w:rPr>
      </w:pPr>
      <w:r>
        <w:rPr>
          <w:b/>
          <w:szCs w:val="22"/>
          <w:u w:val="single"/>
          <w:lang w:val="en-US"/>
        </w:rPr>
        <w:t>Feedback mechanism: m</w:t>
      </w:r>
      <w:r w:rsidR="00946DBC">
        <w:rPr>
          <w:b/>
          <w:szCs w:val="22"/>
          <w:u w:val="single"/>
          <w:lang w:val="en-US"/>
        </w:rPr>
        <w:t>apping between ack/n</w:t>
      </w:r>
      <w:r w:rsidRPr="00761F85">
        <w:rPr>
          <w:b/>
          <w:szCs w:val="22"/>
          <w:u w:val="single"/>
          <w:lang w:val="en-US"/>
        </w:rPr>
        <w:t>ack feedback and CBG</w:t>
      </w:r>
      <w:r>
        <w:rPr>
          <w:szCs w:val="22"/>
          <w:lang w:val="en-US"/>
        </w:rPr>
        <w:t xml:space="preserve">: At least two options </w:t>
      </w:r>
      <w:r w:rsidR="00451050">
        <w:rPr>
          <w:szCs w:val="22"/>
          <w:lang w:val="en-US"/>
        </w:rPr>
        <w:t xml:space="preserve">addressing this issue </w:t>
      </w:r>
      <w:r>
        <w:rPr>
          <w:szCs w:val="22"/>
          <w:lang w:val="en-US"/>
        </w:rPr>
        <w:t>have been brought up</w:t>
      </w:r>
      <w:r w:rsidR="00451050">
        <w:rPr>
          <w:szCs w:val="22"/>
          <w:lang w:val="en-US"/>
        </w:rPr>
        <w:t xml:space="preserve"> earlier. O</w:t>
      </w:r>
      <w:r>
        <w:rPr>
          <w:szCs w:val="22"/>
          <w:lang w:val="en-US"/>
        </w:rPr>
        <w:t xml:space="preserve">ne is an indirect method, where the feedback would be considered as a pointer to a retransmission configuration table. This reconfiguration table could then contain different several CBGs that </w:t>
      </w:r>
      <w:r w:rsidR="00E17719">
        <w:rPr>
          <w:rFonts w:eastAsiaTheme="minorEastAsia" w:hint="eastAsia"/>
          <w:szCs w:val="22"/>
          <w:lang w:val="en-US" w:eastAsia="zh-CN"/>
        </w:rPr>
        <w:t>should be</w:t>
      </w:r>
      <w:r w:rsidR="00E17719">
        <w:rPr>
          <w:szCs w:val="22"/>
          <w:lang w:val="en-US"/>
        </w:rPr>
        <w:t xml:space="preserve"> </w:t>
      </w:r>
      <w:r>
        <w:rPr>
          <w:szCs w:val="22"/>
          <w:lang w:val="en-US"/>
        </w:rPr>
        <w:t xml:space="preserve">retransmitted </w:t>
      </w:r>
      <w:r w:rsidR="00D61A71">
        <w:rPr>
          <w:szCs w:val="22"/>
          <w:lang w:val="en-US"/>
        </w:rPr>
        <w:t xml:space="preserve">but with different rate matching. </w:t>
      </w:r>
    </w:p>
    <w:p w:rsidR="00D61A71" w:rsidRDefault="00761F85" w:rsidP="00451050">
      <w:pPr>
        <w:spacing w:after="120"/>
        <w:rPr>
          <w:szCs w:val="22"/>
          <w:lang w:val="en-US"/>
        </w:rPr>
      </w:pPr>
      <w:r>
        <w:rPr>
          <w:szCs w:val="22"/>
          <w:lang w:val="en-US"/>
        </w:rPr>
        <w:t xml:space="preserve">The second method is a direct </w:t>
      </w:r>
      <w:r w:rsidR="00946DBC">
        <w:rPr>
          <w:szCs w:val="22"/>
          <w:lang w:val="en-US"/>
        </w:rPr>
        <w:t xml:space="preserve">one-to-one </w:t>
      </w:r>
      <w:r>
        <w:rPr>
          <w:szCs w:val="22"/>
          <w:lang w:val="en-US"/>
        </w:rPr>
        <w:t>mapping, where each CBG is represented by an individual ack/nack.</w:t>
      </w:r>
      <w:r w:rsidR="00946DBC">
        <w:rPr>
          <w:szCs w:val="22"/>
          <w:lang w:val="en-US"/>
        </w:rPr>
        <w:t xml:space="preserve"> </w:t>
      </w:r>
      <w:r w:rsidR="00D61A71">
        <w:rPr>
          <w:szCs w:val="22"/>
          <w:lang w:val="en-US"/>
        </w:rPr>
        <w:t>We prefer the second option.</w:t>
      </w:r>
    </w:p>
    <w:p w:rsidR="00D61A71" w:rsidRPr="0028731A" w:rsidRDefault="00D61A71" w:rsidP="00D26B12">
      <w:pPr>
        <w:rPr>
          <w:b/>
          <w:i/>
          <w:szCs w:val="22"/>
          <w:lang w:val="en-US"/>
        </w:rPr>
      </w:pPr>
      <w:r w:rsidRPr="0028731A">
        <w:rPr>
          <w:b/>
          <w:i/>
          <w:szCs w:val="22"/>
          <w:lang w:val="en-US"/>
        </w:rPr>
        <w:t>Proposal 1: In the HARQ feedback mechanism, each CBG</w:t>
      </w:r>
      <w:r w:rsidR="00946DBC" w:rsidRPr="0028731A">
        <w:rPr>
          <w:b/>
          <w:i/>
          <w:szCs w:val="22"/>
          <w:lang w:val="en-US"/>
        </w:rPr>
        <w:t xml:space="preserve"> is addressed with a</w:t>
      </w:r>
      <w:r w:rsidRPr="0028731A">
        <w:rPr>
          <w:b/>
          <w:i/>
          <w:szCs w:val="22"/>
          <w:lang w:val="en-US"/>
        </w:rPr>
        <w:t xml:space="preserve"> unique identifier.</w:t>
      </w:r>
    </w:p>
    <w:p w:rsidR="009E4273" w:rsidRDefault="00D61A71" w:rsidP="00D26B12">
      <w:pPr>
        <w:rPr>
          <w:szCs w:val="22"/>
          <w:lang w:val="en-US"/>
        </w:rPr>
      </w:pPr>
      <w:r w:rsidRPr="00D61A71">
        <w:rPr>
          <w:b/>
          <w:szCs w:val="22"/>
          <w:u w:val="single"/>
          <w:lang w:val="en-US"/>
        </w:rPr>
        <w:t>Transmission indication of CBG:</w:t>
      </w:r>
      <w:r w:rsidR="001A6C28">
        <w:rPr>
          <w:szCs w:val="22"/>
          <w:lang w:val="en-US"/>
        </w:rPr>
        <w:t xml:space="preserve"> For the DL transmitter</w:t>
      </w:r>
      <w:r>
        <w:rPr>
          <w:szCs w:val="22"/>
          <w:lang w:val="en-US"/>
        </w:rPr>
        <w:t>, a</w:t>
      </w:r>
      <w:r w:rsidR="00C03DF6">
        <w:rPr>
          <w:szCs w:val="22"/>
          <w:lang w:val="en-US"/>
        </w:rPr>
        <w:t>t least two options have been brought up</w:t>
      </w:r>
      <w:r>
        <w:rPr>
          <w:szCs w:val="22"/>
          <w:lang w:val="en-US"/>
        </w:rPr>
        <w:t xml:space="preserve">. </w:t>
      </w:r>
      <w:r w:rsidR="00C03DF6">
        <w:rPr>
          <w:szCs w:val="22"/>
          <w:lang w:val="en-US"/>
        </w:rPr>
        <w:t>The first o</w:t>
      </w:r>
      <w:r w:rsidR="00755FB6">
        <w:rPr>
          <w:szCs w:val="22"/>
          <w:lang w:val="en-US"/>
        </w:rPr>
        <w:t>ne is</w:t>
      </w:r>
      <w:r>
        <w:rPr>
          <w:szCs w:val="22"/>
          <w:lang w:val="en-US"/>
        </w:rPr>
        <w:t xml:space="preserve"> to omit </w:t>
      </w:r>
      <w:r w:rsidR="00946DBC">
        <w:rPr>
          <w:szCs w:val="22"/>
          <w:lang w:val="en-US"/>
        </w:rPr>
        <w:t>the CBG identifier</w:t>
      </w:r>
      <w:r>
        <w:rPr>
          <w:szCs w:val="22"/>
          <w:lang w:val="en-US"/>
        </w:rPr>
        <w:t xml:space="preserve"> in the re-transmission. The UE would</w:t>
      </w:r>
      <w:r w:rsidR="005347C4">
        <w:rPr>
          <w:szCs w:val="22"/>
          <w:lang w:val="en-US"/>
        </w:rPr>
        <w:t xml:space="preserve"> then</w:t>
      </w:r>
      <w:r>
        <w:rPr>
          <w:szCs w:val="22"/>
          <w:lang w:val="en-US"/>
        </w:rPr>
        <w:t xml:space="preserve"> simply assume </w:t>
      </w:r>
      <w:r w:rsidR="005347C4">
        <w:rPr>
          <w:szCs w:val="22"/>
          <w:lang w:val="en-US"/>
        </w:rPr>
        <w:t>that a</w:t>
      </w:r>
      <w:r>
        <w:rPr>
          <w:szCs w:val="22"/>
          <w:lang w:val="en-US"/>
        </w:rPr>
        <w:t xml:space="preserve"> retransmission only contains CBGs according to its </w:t>
      </w:r>
      <w:r w:rsidR="00755FB6">
        <w:rPr>
          <w:szCs w:val="22"/>
          <w:lang w:val="en-US"/>
        </w:rPr>
        <w:t xml:space="preserve">previously sent </w:t>
      </w:r>
      <w:r>
        <w:rPr>
          <w:szCs w:val="22"/>
          <w:lang w:val="en-US"/>
        </w:rPr>
        <w:t>Ack/Nack feedback</w:t>
      </w:r>
      <w:r w:rsidR="00822BE3">
        <w:rPr>
          <w:szCs w:val="22"/>
          <w:lang w:val="en-US"/>
        </w:rPr>
        <w:t>.</w:t>
      </w:r>
      <w:r w:rsidR="00C03DF6">
        <w:rPr>
          <w:szCs w:val="22"/>
          <w:lang w:val="en-US"/>
        </w:rPr>
        <w:t xml:space="preserve"> The second option</w:t>
      </w:r>
      <w:r w:rsidR="00822BE3">
        <w:rPr>
          <w:szCs w:val="22"/>
          <w:lang w:val="en-US"/>
        </w:rPr>
        <w:t xml:space="preserve"> is that the CBG is explicitly indicated in the scheduling grant.</w:t>
      </w:r>
    </w:p>
    <w:p w:rsidR="002B4706" w:rsidRDefault="009E4273" w:rsidP="00D26B12">
      <w:pPr>
        <w:rPr>
          <w:szCs w:val="22"/>
          <w:lang w:val="en-US"/>
        </w:rPr>
      </w:pPr>
      <w:r w:rsidRPr="009E4273">
        <w:rPr>
          <w:szCs w:val="22"/>
          <w:lang w:val="en-US"/>
        </w:rPr>
        <w:t xml:space="preserve">Both </w:t>
      </w:r>
      <w:r>
        <w:rPr>
          <w:szCs w:val="22"/>
          <w:lang w:val="en-US"/>
        </w:rPr>
        <w:t>options have their merits and drawbacks. The first one gives more similarities in the scheduling grant with the TB-level retransmission but implies more restrictions on the gNB retransmission scheme</w:t>
      </w:r>
      <w:r w:rsidR="00C03DF6">
        <w:rPr>
          <w:szCs w:val="22"/>
          <w:lang w:val="en-US"/>
        </w:rPr>
        <w:t xml:space="preserve">. Furthermore, </w:t>
      </w:r>
      <w:r w:rsidR="00B938D0">
        <w:rPr>
          <w:szCs w:val="22"/>
          <w:lang w:val="en-US"/>
        </w:rPr>
        <w:t>it would prevent a CBG transmission on the gNB’s own initiative</w:t>
      </w:r>
      <w:r w:rsidR="00D227E3">
        <w:rPr>
          <w:szCs w:val="22"/>
        </w:rPr>
        <w:t xml:space="preserve"> or could cause misunderstanding between gNB and UE in case of “Nack to Ack” or “Ack to Nack” errors.  </w:t>
      </w:r>
      <w:r w:rsidR="00B938D0">
        <w:rPr>
          <w:szCs w:val="22"/>
          <w:lang w:val="en-US"/>
        </w:rPr>
        <w:t xml:space="preserve"> </w:t>
      </w:r>
      <w:r w:rsidR="001A6C28">
        <w:rPr>
          <w:szCs w:val="22"/>
          <w:lang w:val="en-US"/>
        </w:rPr>
        <w:t>For the DL direction, w</w:t>
      </w:r>
      <w:r w:rsidR="00B938D0">
        <w:rPr>
          <w:szCs w:val="22"/>
          <w:lang w:val="en-US"/>
        </w:rPr>
        <w:t>e are open to both solutions and make the decision also dependent on if a sub-sequent tr</w:t>
      </w:r>
      <w:r w:rsidR="002B4706">
        <w:rPr>
          <w:szCs w:val="22"/>
          <w:lang w:val="en-US"/>
        </w:rPr>
        <w:t>a</w:t>
      </w:r>
      <w:r w:rsidR="00B938D0">
        <w:rPr>
          <w:szCs w:val="22"/>
          <w:lang w:val="en-US"/>
        </w:rPr>
        <w:t>nsmission shall be supported.</w:t>
      </w:r>
      <w:r w:rsidR="00C602BD">
        <w:rPr>
          <w:szCs w:val="22"/>
          <w:lang w:val="en-US"/>
        </w:rPr>
        <w:t xml:space="preserve"> For the UL direction, a CBG indication is needed.</w:t>
      </w:r>
    </w:p>
    <w:p w:rsidR="00761F85" w:rsidRPr="0028731A" w:rsidRDefault="002B4706" w:rsidP="00D26B12">
      <w:pPr>
        <w:rPr>
          <w:b/>
          <w:i/>
          <w:szCs w:val="22"/>
          <w:lang w:val="en-US"/>
        </w:rPr>
      </w:pPr>
      <w:r w:rsidRPr="0028731A">
        <w:rPr>
          <w:b/>
          <w:i/>
          <w:szCs w:val="22"/>
          <w:lang w:val="en-US"/>
        </w:rPr>
        <w:lastRenderedPageBreak/>
        <w:t xml:space="preserve">Proposal 2: </w:t>
      </w:r>
      <w:r w:rsidR="00B938D0" w:rsidRPr="0028731A">
        <w:rPr>
          <w:b/>
          <w:i/>
          <w:szCs w:val="22"/>
          <w:lang w:val="en-US"/>
        </w:rPr>
        <w:t xml:space="preserve">If RAN1 agrees on the support of sub-sequent </w:t>
      </w:r>
      <w:r w:rsidR="001A6C28" w:rsidRPr="0028731A">
        <w:rPr>
          <w:b/>
          <w:i/>
          <w:szCs w:val="22"/>
          <w:lang w:val="en-US"/>
        </w:rPr>
        <w:t xml:space="preserve">DL </w:t>
      </w:r>
      <w:r w:rsidR="00B938D0" w:rsidRPr="0028731A">
        <w:rPr>
          <w:b/>
          <w:i/>
          <w:szCs w:val="22"/>
          <w:lang w:val="en-US"/>
        </w:rPr>
        <w:t>transmissions of CBGs</w:t>
      </w:r>
      <w:r w:rsidR="001A6C28" w:rsidRPr="0028731A">
        <w:rPr>
          <w:b/>
          <w:i/>
          <w:szCs w:val="22"/>
          <w:lang w:val="en-US"/>
        </w:rPr>
        <w:t>,</w:t>
      </w:r>
      <w:r w:rsidR="00B938D0" w:rsidRPr="0028731A">
        <w:rPr>
          <w:b/>
          <w:i/>
          <w:szCs w:val="22"/>
          <w:lang w:val="en-US"/>
        </w:rPr>
        <w:t xml:space="preserve"> a </w:t>
      </w:r>
      <w:r w:rsidRPr="0028731A">
        <w:rPr>
          <w:b/>
          <w:i/>
          <w:szCs w:val="22"/>
          <w:lang w:val="en-US"/>
        </w:rPr>
        <w:t xml:space="preserve">CBG indication </w:t>
      </w:r>
      <w:r w:rsidR="00B938D0" w:rsidRPr="0028731A">
        <w:rPr>
          <w:b/>
          <w:i/>
          <w:szCs w:val="22"/>
          <w:lang w:val="en-US"/>
        </w:rPr>
        <w:t xml:space="preserve">shall be included </w:t>
      </w:r>
      <w:r w:rsidRPr="0028731A">
        <w:rPr>
          <w:b/>
          <w:i/>
          <w:szCs w:val="22"/>
          <w:lang w:val="en-US"/>
        </w:rPr>
        <w:t>in scheduling grant.</w:t>
      </w:r>
      <w:r w:rsidR="00B938D0" w:rsidRPr="0028731A">
        <w:rPr>
          <w:b/>
          <w:i/>
          <w:szCs w:val="22"/>
          <w:lang w:val="en-US"/>
        </w:rPr>
        <w:t xml:space="preserve"> FFS for the case if no-subsequent </w:t>
      </w:r>
      <w:r w:rsidR="001A6C28" w:rsidRPr="0028731A">
        <w:rPr>
          <w:b/>
          <w:i/>
          <w:szCs w:val="22"/>
          <w:lang w:val="en-US"/>
        </w:rPr>
        <w:t>DL transmission i</w:t>
      </w:r>
      <w:r w:rsidR="00B938D0" w:rsidRPr="0028731A">
        <w:rPr>
          <w:b/>
          <w:i/>
          <w:szCs w:val="22"/>
          <w:lang w:val="en-US"/>
        </w:rPr>
        <w:t>s supported.</w:t>
      </w:r>
    </w:p>
    <w:p w:rsidR="001A6C28" w:rsidRPr="0028731A" w:rsidRDefault="001A6C28" w:rsidP="00D26B12">
      <w:pPr>
        <w:rPr>
          <w:b/>
          <w:i/>
          <w:szCs w:val="22"/>
          <w:lang w:val="en-US"/>
        </w:rPr>
      </w:pPr>
      <w:r w:rsidRPr="0028731A">
        <w:rPr>
          <w:b/>
          <w:i/>
          <w:szCs w:val="22"/>
          <w:lang w:val="en-US"/>
        </w:rPr>
        <w:t>Proposal 3: For UL CBG transmission, a CBG indication is supported.</w:t>
      </w:r>
    </w:p>
    <w:p w:rsidR="008501D6" w:rsidRDefault="00213EBF">
      <w:pPr>
        <w:pStyle w:val="Heading2"/>
      </w:pPr>
      <w:r>
        <w:t>Code Block grouping</w:t>
      </w:r>
    </w:p>
    <w:p w:rsidR="00921254" w:rsidRDefault="00213EBF" w:rsidP="00213EBF">
      <w:r>
        <w:rPr>
          <w:szCs w:val="22"/>
        </w:rPr>
        <w:t>The application scenarios for CBG based retransmissions cover at least two cases,</w:t>
      </w:r>
      <w:r w:rsidRPr="00213EBF">
        <w:t xml:space="preserve"> </w:t>
      </w:r>
      <w:r w:rsidR="00CC3C12">
        <w:t xml:space="preserve">e.g. </w:t>
      </w:r>
      <w:r>
        <w:t>at low carrier frequencies to help eMBB UEs to recover more efficiently from pre-emption</w:t>
      </w:r>
      <w:r w:rsidR="00C602BD">
        <w:t xml:space="preserve"> and at higher frequencies when a TB consists of many CBs. </w:t>
      </w:r>
      <w:r w:rsidR="008235C9">
        <w:t>T</w:t>
      </w:r>
      <w:r w:rsidR="00CC3C12">
        <w:t xml:space="preserve">he mechanism for </w:t>
      </w:r>
      <w:r w:rsidR="0049133A">
        <w:rPr>
          <w:rFonts w:eastAsiaTheme="minorEastAsia" w:hint="eastAsia"/>
          <w:lang w:eastAsia="zh-CN"/>
        </w:rPr>
        <w:t>CB</w:t>
      </w:r>
      <w:r w:rsidR="0049133A">
        <w:t xml:space="preserve"> </w:t>
      </w:r>
      <w:r w:rsidR="00CC3C12">
        <w:t xml:space="preserve">grouping has to </w:t>
      </w:r>
      <w:r w:rsidR="00FB43FE">
        <w:t>be able to deal with very</w:t>
      </w:r>
      <w:r w:rsidR="00921254">
        <w:t xml:space="preserve"> different constellations for t</w:t>
      </w:r>
      <w:r w:rsidR="00FB43FE">
        <w:t>h</w:t>
      </w:r>
      <w:r w:rsidR="00921254">
        <w:t>e</w:t>
      </w:r>
      <w:r w:rsidR="00C602BD">
        <w:t xml:space="preserve"> number of CBs included in one</w:t>
      </w:r>
      <w:r w:rsidR="00FB43FE">
        <w:t xml:space="preserve"> </w:t>
      </w:r>
      <w:r w:rsidR="00921254">
        <w:t>TB.</w:t>
      </w:r>
      <w:r w:rsidR="00CC3C12">
        <w:t xml:space="preserve"> </w:t>
      </w:r>
      <w:r w:rsidR="00921254">
        <w:t>A</w:t>
      </w:r>
      <w:r w:rsidR="008235C9">
        <w:t>nother</w:t>
      </w:r>
      <w:r w:rsidR="00921254">
        <w:t xml:space="preserve"> further aspect that needs to be considered is that the </w:t>
      </w:r>
      <w:r w:rsidR="00B17BA6">
        <w:t xml:space="preserve">available resources </w:t>
      </w:r>
      <w:r w:rsidR="00EA568D">
        <w:t xml:space="preserve">for sending the feedback are limited. </w:t>
      </w:r>
    </w:p>
    <w:p w:rsidR="008235C9" w:rsidRDefault="00EA568D" w:rsidP="00213EBF">
      <w:r>
        <w:t xml:space="preserve">In our view it is reasonable to assume that </w:t>
      </w:r>
      <w:r w:rsidR="008235C9">
        <w:t xml:space="preserve">a TB should not be split into too many CBGs, e.g. 4 or 8 as </w:t>
      </w:r>
      <w:r w:rsidR="00C602BD">
        <w:t>a maximum number.</w:t>
      </w:r>
      <w:r w:rsidR="008235C9">
        <w:t xml:space="preserve"> </w:t>
      </w:r>
    </w:p>
    <w:p w:rsidR="00DB4C7B" w:rsidRPr="00D227E3" w:rsidRDefault="00C602BD" w:rsidP="00213EBF">
      <w:pPr>
        <w:rPr>
          <w:b/>
          <w:i/>
          <w:szCs w:val="22"/>
        </w:rPr>
      </w:pPr>
      <w:r w:rsidRPr="0028731A">
        <w:rPr>
          <w:b/>
          <w:i/>
          <w:szCs w:val="22"/>
          <w:lang w:val="en-US"/>
        </w:rPr>
        <w:t>Proposal 4</w:t>
      </w:r>
      <w:r w:rsidR="00EA568D" w:rsidRPr="0028731A">
        <w:rPr>
          <w:b/>
          <w:i/>
          <w:szCs w:val="22"/>
          <w:lang w:val="en-US"/>
        </w:rPr>
        <w:t>: RAN1 shall agree on the maximum number of CBGs that maybe contained in one TB.</w:t>
      </w:r>
      <w:r w:rsidR="00D227E3">
        <w:rPr>
          <w:b/>
          <w:i/>
          <w:szCs w:val="22"/>
          <w:lang w:val="en-US"/>
        </w:rPr>
        <w:t xml:space="preserve"> </w:t>
      </w:r>
      <w:r w:rsidR="00D227E3" w:rsidRPr="00D227E3">
        <w:rPr>
          <w:b/>
          <w:i/>
        </w:rPr>
        <w:t>The</w:t>
      </w:r>
      <w:r w:rsidR="00024751">
        <w:rPr>
          <w:b/>
          <w:i/>
        </w:rPr>
        <w:t xml:space="preserve"> chosen value should ensure that</w:t>
      </w:r>
      <w:r w:rsidR="00D227E3" w:rsidRPr="00D227E3">
        <w:rPr>
          <w:b/>
          <w:i/>
        </w:rPr>
        <w:t xml:space="preserve"> PUCCH overhead </w:t>
      </w:r>
      <w:r w:rsidR="00024751">
        <w:rPr>
          <w:b/>
          <w:i/>
        </w:rPr>
        <w:t>is</w:t>
      </w:r>
      <w:r w:rsidR="00D227E3" w:rsidRPr="00D227E3">
        <w:rPr>
          <w:b/>
          <w:i/>
        </w:rPr>
        <w:t xml:space="preserve"> kept small</w:t>
      </w:r>
      <w:r w:rsidR="00D227E3">
        <w:rPr>
          <w:b/>
          <w:i/>
        </w:rPr>
        <w:t xml:space="preserve"> and an efficient </w:t>
      </w:r>
      <w:r w:rsidR="00D227E3" w:rsidRPr="00D227E3">
        <w:rPr>
          <w:b/>
          <w:i/>
        </w:rPr>
        <w:t>CBG to OFDM symbol mapping</w:t>
      </w:r>
      <w:r w:rsidR="00024751">
        <w:rPr>
          <w:b/>
          <w:i/>
        </w:rPr>
        <w:t xml:space="preserve"> will be possible</w:t>
      </w:r>
      <w:r w:rsidR="00D227E3">
        <w:rPr>
          <w:b/>
          <w:i/>
        </w:rPr>
        <w:t>.</w:t>
      </w:r>
      <w:r w:rsidR="00D227E3" w:rsidRPr="00D227E3">
        <w:rPr>
          <w:b/>
          <w:i/>
        </w:rPr>
        <w:t xml:space="preserve"> </w:t>
      </w:r>
    </w:p>
    <w:p w:rsidR="008235C9" w:rsidRDefault="00DB4C7B" w:rsidP="00CE1269">
      <w:pPr>
        <w:overflowPunct/>
        <w:autoSpaceDE/>
        <w:autoSpaceDN/>
        <w:adjustRightInd/>
        <w:spacing w:after="0"/>
        <w:jc w:val="left"/>
        <w:textAlignment w:val="auto"/>
      </w:pPr>
      <w:r>
        <w:t xml:space="preserve">When then the number of CBGs within a TB is fixed, but the number of CBs within a TB can vary, then the number of CBs in a CBG would change according to the TBS.  </w:t>
      </w:r>
    </w:p>
    <w:p w:rsidR="008235C9" w:rsidRDefault="008235C9" w:rsidP="00CE1269">
      <w:pPr>
        <w:overflowPunct/>
        <w:autoSpaceDE/>
        <w:autoSpaceDN/>
        <w:adjustRightInd/>
        <w:spacing w:after="0"/>
        <w:jc w:val="left"/>
        <w:textAlignment w:val="auto"/>
      </w:pPr>
    </w:p>
    <w:p w:rsidR="00DB4C7B" w:rsidRDefault="00CE1269" w:rsidP="00CE1269">
      <w:pPr>
        <w:overflowPunct/>
        <w:autoSpaceDE/>
        <w:autoSpaceDN/>
        <w:adjustRightInd/>
        <w:spacing w:after="0"/>
        <w:jc w:val="left"/>
        <w:textAlignment w:val="auto"/>
      </w:pPr>
      <w:r>
        <w:t xml:space="preserve">Option1 </w:t>
      </w:r>
      <w:r w:rsidR="008235C9">
        <w:t>from Agreement 3</w:t>
      </w:r>
      <w:r>
        <w:t xml:space="preserve"> in section 1 has low complexity and also little impact on other aspects, such as data encoding and </w:t>
      </w:r>
      <w:r w:rsidR="008235C9">
        <w:t xml:space="preserve">the </w:t>
      </w:r>
      <w:r>
        <w:t xml:space="preserve">DCI design. </w:t>
      </w:r>
      <w:r w:rsidR="008235C9">
        <w:t>Furthermore, t</w:t>
      </w:r>
      <w:r>
        <w:t>he signalling overh</w:t>
      </w:r>
      <w:r w:rsidR="008235C9">
        <w:t>ead is controllable. In our view</w:t>
      </w:r>
      <w:r>
        <w:t xml:space="preserve"> option1 is simple and efficient and </w:t>
      </w:r>
      <w:r w:rsidR="00C602BD">
        <w:t>should be</w:t>
      </w:r>
      <w:r>
        <w:t xml:space="preserve"> adopted by RAN1.</w:t>
      </w:r>
    </w:p>
    <w:p w:rsidR="00CE1269" w:rsidRPr="00CE1269" w:rsidRDefault="00CE1269" w:rsidP="00CE1269">
      <w:pPr>
        <w:overflowPunct/>
        <w:autoSpaceDE/>
        <w:autoSpaceDN/>
        <w:adjustRightInd/>
        <w:spacing w:after="0"/>
        <w:jc w:val="left"/>
        <w:textAlignment w:val="auto"/>
        <w:rPr>
          <w:rFonts w:eastAsiaTheme="minorEastAsia"/>
          <w:lang w:eastAsia="zh-CN"/>
        </w:rPr>
      </w:pPr>
    </w:p>
    <w:p w:rsidR="00DB4C7B" w:rsidRPr="0028731A" w:rsidRDefault="00C602BD" w:rsidP="008235C9">
      <w:pPr>
        <w:overflowPunct/>
        <w:autoSpaceDE/>
        <w:autoSpaceDN/>
        <w:adjustRightInd/>
        <w:spacing w:after="0"/>
        <w:jc w:val="left"/>
        <w:textAlignment w:val="auto"/>
        <w:rPr>
          <w:rFonts w:eastAsia="MS Mincho"/>
          <w:b/>
          <w:i/>
          <w:iCs/>
          <w:lang w:val="en-US" w:eastAsia="ja-JP"/>
        </w:rPr>
      </w:pPr>
      <w:r w:rsidRPr="0028731A">
        <w:rPr>
          <w:b/>
          <w:i/>
        </w:rPr>
        <w:t>Proposal 5</w:t>
      </w:r>
      <w:r w:rsidR="00DB4C7B" w:rsidRPr="0028731A">
        <w:rPr>
          <w:b/>
          <w:i/>
        </w:rPr>
        <w:t xml:space="preserve">: </w:t>
      </w:r>
      <w:r w:rsidR="008235C9" w:rsidRPr="0028731A">
        <w:rPr>
          <w:b/>
          <w:i/>
        </w:rPr>
        <w:t xml:space="preserve"> </w:t>
      </w:r>
      <w:r w:rsidR="00DB4C7B" w:rsidRPr="0028731A">
        <w:rPr>
          <w:rFonts w:eastAsia="MS Mincho"/>
          <w:b/>
          <w:i/>
          <w:iCs/>
          <w:lang w:val="en-US" w:eastAsia="ja-JP"/>
        </w:rPr>
        <w:t>For grouping CB(s) into CBG(s), the following option shall be adopted.</w:t>
      </w:r>
    </w:p>
    <w:p w:rsidR="00DB4C7B" w:rsidRPr="0028731A" w:rsidRDefault="00DB4C7B" w:rsidP="008235C9">
      <w:pPr>
        <w:numPr>
          <w:ilvl w:val="0"/>
          <w:numId w:val="29"/>
        </w:numPr>
        <w:overflowPunct/>
        <w:autoSpaceDE/>
        <w:autoSpaceDN/>
        <w:adjustRightInd/>
        <w:spacing w:after="0"/>
        <w:jc w:val="left"/>
        <w:textAlignment w:val="auto"/>
        <w:rPr>
          <w:rFonts w:eastAsia="MS Mincho"/>
          <w:b/>
          <w:i/>
          <w:iCs/>
          <w:lang w:val="en-US" w:eastAsia="ja-JP"/>
        </w:rPr>
      </w:pPr>
      <w:r w:rsidRPr="0028731A">
        <w:rPr>
          <w:rFonts w:eastAsia="MS Mincho"/>
          <w:b/>
          <w:i/>
          <w:iCs/>
          <w:lang w:val="en-US" w:eastAsia="ja-JP"/>
        </w:rPr>
        <w:t>Option 1: With configured number of CBGs, the number of CBs in a CBG changes according to TBS.</w:t>
      </w:r>
    </w:p>
    <w:p w:rsidR="00DB4C7B" w:rsidRPr="0028731A" w:rsidRDefault="00DB4C7B" w:rsidP="00094120">
      <w:pPr>
        <w:numPr>
          <w:ilvl w:val="1"/>
          <w:numId w:val="29"/>
        </w:numPr>
        <w:tabs>
          <w:tab w:val="num" w:pos="2160"/>
        </w:tabs>
        <w:overflowPunct/>
        <w:autoSpaceDE/>
        <w:autoSpaceDN/>
        <w:adjustRightInd/>
        <w:spacing w:after="0"/>
        <w:jc w:val="left"/>
        <w:textAlignment w:val="auto"/>
        <w:rPr>
          <w:rFonts w:eastAsia="MS Mincho"/>
          <w:b/>
          <w:i/>
          <w:iCs/>
          <w:lang w:val="en-US" w:eastAsia="ja-JP"/>
        </w:rPr>
      </w:pPr>
      <w:r w:rsidRPr="0028731A">
        <w:rPr>
          <w:rFonts w:eastAsia="MS Mincho"/>
          <w:b/>
          <w:i/>
          <w:iCs/>
          <w:lang w:val="en-US" w:eastAsia="ja-JP"/>
        </w:rPr>
        <w:t>FFS for the case of re-transmission or the case when the number of CBs is smaller than the configured number of CBGs</w:t>
      </w:r>
    </w:p>
    <w:p w:rsidR="00CE1269" w:rsidRDefault="00CE1269" w:rsidP="001676D6">
      <w:pPr>
        <w:overflowPunct/>
        <w:autoSpaceDE/>
        <w:autoSpaceDN/>
        <w:adjustRightInd/>
        <w:spacing w:after="0"/>
        <w:jc w:val="left"/>
        <w:textAlignment w:val="auto"/>
        <w:rPr>
          <w:lang w:val="en-US"/>
        </w:rPr>
      </w:pPr>
    </w:p>
    <w:p w:rsidR="00213EBF" w:rsidRDefault="001676D6" w:rsidP="00CE1269">
      <w:pPr>
        <w:overflowPunct/>
        <w:autoSpaceDE/>
        <w:autoSpaceDN/>
        <w:adjustRightInd/>
        <w:spacing w:after="0"/>
        <w:jc w:val="left"/>
        <w:textAlignment w:val="auto"/>
      </w:pPr>
      <w:r>
        <w:t>If the number of CBs is less than the number of configured CBGs, it is still necessary to provide feedback based on the number of configured CBGs, but the base station and UE can agree on the ACK / NACK location of the valid CBGs and the remaining bit positions can be reserved.</w:t>
      </w:r>
    </w:p>
    <w:p w:rsidR="00CE1269" w:rsidRDefault="00CE1269" w:rsidP="00CE1269">
      <w:pPr>
        <w:overflowPunct/>
        <w:autoSpaceDE/>
        <w:autoSpaceDN/>
        <w:adjustRightInd/>
        <w:spacing w:after="0"/>
        <w:jc w:val="left"/>
        <w:textAlignment w:val="auto"/>
      </w:pPr>
    </w:p>
    <w:p w:rsidR="003778EB" w:rsidRDefault="003778EB" w:rsidP="004C32E0">
      <w:pPr>
        <w:pStyle w:val="Heading2"/>
        <w:rPr>
          <w:iCs w:val="0"/>
        </w:rPr>
      </w:pPr>
      <w:r>
        <w:rPr>
          <w:iCs w:val="0"/>
        </w:rPr>
        <w:lastRenderedPageBreak/>
        <w:t>Mapping of CBGs to physical resources</w:t>
      </w:r>
      <w:r w:rsidR="008501D6">
        <w:rPr>
          <w:iCs w:val="0"/>
        </w:rPr>
        <w:t xml:space="preserve"> and UE decoding behavior</w:t>
      </w:r>
    </w:p>
    <w:p w:rsidR="0025326E" w:rsidRDefault="008501D6" w:rsidP="0025326E">
      <w:r>
        <w:t>An important use case for CBG based retransmissions is the recovery of the eMBB UE i</w:t>
      </w:r>
      <w:r w:rsidR="001230CF">
        <w:t>n case of pre-emption. For this use case</w:t>
      </w:r>
      <w:r>
        <w:t xml:space="preserve">, </w:t>
      </w:r>
      <w:r w:rsidR="00C602BD">
        <w:t xml:space="preserve">ideally, </w:t>
      </w:r>
      <w:r w:rsidR="0025326E">
        <w:t xml:space="preserve">an integer number of CBG(s) should fit into the pre-empted resources. </w:t>
      </w:r>
      <w:r>
        <w:t xml:space="preserve">The interleaving should be performed firstly in the frequency domain. </w:t>
      </w:r>
      <w:r w:rsidR="0025326E">
        <w:t>In the ideal case, there could be a one-to-one mapping between CBG and physical resources as illustrated below</w:t>
      </w:r>
      <w:r w:rsidR="00C602BD">
        <w:t xml:space="preserve"> in Figure 1</w:t>
      </w:r>
      <w:r w:rsidR="004D4A34">
        <w:t>.</w:t>
      </w:r>
    </w:p>
    <w:p w:rsidR="004D4A34" w:rsidRDefault="00044FB8" w:rsidP="004D4A34">
      <w:pPr>
        <w:jc w:val="center"/>
      </w:pPr>
      <w:r w:rsidRPr="00044FB8">
        <w:rPr>
          <w:noProof/>
          <w:lang w:val="sv-SE" w:eastAsia="sv-SE"/>
        </w:rPr>
        <w:drawing>
          <wp:inline distT="0" distB="0" distL="0" distR="0">
            <wp:extent cx="4930475" cy="3458818"/>
            <wp:effectExtent l="0" t="0" r="34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4931461" cy="3459510"/>
                    </a:xfrm>
                    <a:prstGeom prst="rect">
                      <a:avLst/>
                    </a:prstGeom>
                    <a:noFill/>
                    <a:ln w="9525">
                      <a:noFill/>
                      <a:miter lim="800000"/>
                      <a:headEnd/>
                      <a:tailEnd/>
                    </a:ln>
                  </pic:spPr>
                </pic:pic>
              </a:graphicData>
            </a:graphic>
          </wp:inline>
        </w:drawing>
      </w:r>
    </w:p>
    <w:p w:rsidR="004D4A34" w:rsidRDefault="004D4A34" w:rsidP="004D4A34">
      <w:pPr>
        <w:pStyle w:val="Caption"/>
        <w:jc w:val="center"/>
      </w:pPr>
      <w:r>
        <w:t xml:space="preserve">Figure </w:t>
      </w:r>
      <w:r w:rsidR="007A1944">
        <w:fldChar w:fldCharType="begin"/>
      </w:r>
      <w:r w:rsidR="006C625D">
        <w:instrText xml:space="preserve"> SEQ Figure \* ARABIC </w:instrText>
      </w:r>
      <w:r w:rsidR="007A1944">
        <w:fldChar w:fldCharType="separate"/>
      </w:r>
      <w:r w:rsidR="0056122C">
        <w:rPr>
          <w:noProof/>
        </w:rPr>
        <w:t>1</w:t>
      </w:r>
      <w:r w:rsidR="007A1944">
        <w:fldChar w:fldCharType="end"/>
      </w:r>
      <w:r>
        <w:t xml:space="preserve"> – Mapping from CBs/CBGs to physical resources. As frequency first mapping should be applied.</w:t>
      </w:r>
    </w:p>
    <w:p w:rsidR="004D4A34" w:rsidRDefault="004D4A34" w:rsidP="0025326E">
      <w:r>
        <w:t>Another benefit with the mapping</w:t>
      </w:r>
      <w:r w:rsidR="00C602BD">
        <w:t xml:space="preserve"> described in figure 1</w:t>
      </w:r>
      <w:r>
        <w:t xml:space="preserve"> is that it allows for faster</w:t>
      </w:r>
      <w:r w:rsidR="00C602BD">
        <w:t xml:space="preserve"> processing of the </w:t>
      </w:r>
      <w:r>
        <w:t>decoding. A UE does not need to wait until the whole tr</w:t>
      </w:r>
      <w:r w:rsidR="00C602BD">
        <w:t>ansport block has been received</w:t>
      </w:r>
      <w:r>
        <w:t xml:space="preserve">. This is illustrated </w:t>
      </w:r>
      <w:r w:rsidR="00C602BD">
        <w:t>in F</w:t>
      </w:r>
      <w:r>
        <w:t>igure 2 below:</w:t>
      </w:r>
    </w:p>
    <w:p w:rsidR="004D4A34" w:rsidRDefault="004D4A34" w:rsidP="004D4A34">
      <w:pPr>
        <w:jc w:val="center"/>
      </w:pPr>
      <w:r w:rsidRPr="004D4A34">
        <w:rPr>
          <w:noProof/>
          <w:lang w:val="sv-SE" w:eastAsia="sv-SE"/>
        </w:rPr>
        <w:lastRenderedPageBreak/>
        <w:drawing>
          <wp:inline distT="0" distB="0" distL="0" distR="0">
            <wp:extent cx="4677308" cy="1605563"/>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76969" cy="1605447"/>
                    </a:xfrm>
                    <a:prstGeom prst="rect">
                      <a:avLst/>
                    </a:prstGeom>
                    <a:noFill/>
                    <a:ln w="9525">
                      <a:noFill/>
                      <a:miter lim="800000"/>
                      <a:headEnd/>
                      <a:tailEnd/>
                    </a:ln>
                  </pic:spPr>
                </pic:pic>
              </a:graphicData>
            </a:graphic>
          </wp:inline>
        </w:drawing>
      </w:r>
    </w:p>
    <w:p w:rsidR="004D4A34" w:rsidRDefault="00462813" w:rsidP="00462813">
      <w:pPr>
        <w:pStyle w:val="Caption"/>
        <w:jc w:val="center"/>
      </w:pPr>
      <w:r>
        <w:t xml:space="preserve">Figure </w:t>
      </w:r>
      <w:r w:rsidR="007A1944">
        <w:fldChar w:fldCharType="begin"/>
      </w:r>
      <w:r w:rsidR="006C625D">
        <w:instrText xml:space="preserve"> SEQ Figure \* ARABIC </w:instrText>
      </w:r>
      <w:r w:rsidR="007A1944">
        <w:fldChar w:fldCharType="separate"/>
      </w:r>
      <w:r w:rsidR="0056122C">
        <w:rPr>
          <w:noProof/>
        </w:rPr>
        <w:t>2</w:t>
      </w:r>
      <w:r w:rsidR="007A1944">
        <w:fldChar w:fldCharType="end"/>
      </w:r>
      <w:r>
        <w:t xml:space="preserve"> – One-to-one mapping of CBs to physical resources enables early start of the decoding</w:t>
      </w:r>
    </w:p>
    <w:p w:rsidR="004D4A34" w:rsidRDefault="004D4A34" w:rsidP="0025326E">
      <w:r>
        <w:t>In practice</w:t>
      </w:r>
      <w:r w:rsidR="00C602BD">
        <w:t>,</w:t>
      </w:r>
      <w:r>
        <w:t xml:space="preserve"> it will</w:t>
      </w:r>
      <w:r w:rsidR="00BF2237">
        <w:rPr>
          <w:rFonts w:eastAsiaTheme="minorEastAsia" w:hint="eastAsia"/>
          <w:lang w:eastAsia="zh-CN"/>
        </w:rPr>
        <w:t xml:space="preserve"> be</w:t>
      </w:r>
      <w:r>
        <w:t xml:space="preserve"> </w:t>
      </w:r>
      <w:r w:rsidR="00462813">
        <w:t xml:space="preserve">difficult to achieve an exact one-one mapping, but </w:t>
      </w:r>
      <w:r w:rsidR="00C602BD">
        <w:t xml:space="preserve">RAN1 should strive for </w:t>
      </w:r>
      <w:r w:rsidR="001230CF">
        <w:t xml:space="preserve">the possibility to </w:t>
      </w:r>
      <w:r w:rsidR="00462813">
        <w:t xml:space="preserve">keep the CBGs restricted to as few symbols as possible. </w:t>
      </w:r>
      <w:r w:rsidR="001230CF">
        <w:t>For the CBG mapping, also design cri</w:t>
      </w:r>
      <w:r w:rsidR="00695EF3">
        <w:t xml:space="preserve">teria from other use cases </w:t>
      </w:r>
      <w:r w:rsidR="001230CF">
        <w:t xml:space="preserve">and varying channel conditions need to be considered. </w:t>
      </w:r>
      <w:r w:rsidR="00695EF3">
        <w:t>But at least the possibility for the following proposal should</w:t>
      </w:r>
      <w:r w:rsidR="001230CF">
        <w:t xml:space="preserve"> be given: </w:t>
      </w:r>
    </w:p>
    <w:p w:rsidR="0025326E" w:rsidRPr="00C602BD" w:rsidRDefault="00C602BD" w:rsidP="0025326E">
      <w:pPr>
        <w:rPr>
          <w:b/>
        </w:rPr>
      </w:pPr>
      <w:r w:rsidRPr="0028731A">
        <w:rPr>
          <w:b/>
          <w:i/>
        </w:rPr>
        <w:t>Proposal 6</w:t>
      </w:r>
      <w:r w:rsidR="004D4A34" w:rsidRPr="0028731A">
        <w:rPr>
          <w:b/>
          <w:i/>
        </w:rPr>
        <w:t xml:space="preserve">: </w:t>
      </w:r>
      <w:r w:rsidR="001230CF">
        <w:rPr>
          <w:b/>
          <w:i/>
        </w:rPr>
        <w:t xml:space="preserve">The possibility shall be given to map CBs in a </w:t>
      </w:r>
      <w:r w:rsidR="004D4A34" w:rsidRPr="0028731A">
        <w:rPr>
          <w:b/>
          <w:i/>
        </w:rPr>
        <w:t>frequency-first</w:t>
      </w:r>
      <w:r w:rsidR="001230CF">
        <w:rPr>
          <w:b/>
          <w:i/>
        </w:rPr>
        <w:t xml:space="preserve"> manner onto</w:t>
      </w:r>
      <w:r w:rsidR="004D4A34" w:rsidRPr="0028731A">
        <w:rPr>
          <w:b/>
          <w:i/>
        </w:rPr>
        <w:t xml:space="preserve"> the physical resources to facilitate pipelin</w:t>
      </w:r>
      <w:r w:rsidR="001230CF">
        <w:rPr>
          <w:b/>
          <w:i/>
        </w:rPr>
        <w:t xml:space="preserve">ing in the decoder </w:t>
      </w:r>
      <w:r w:rsidR="00462813" w:rsidRPr="0028731A">
        <w:rPr>
          <w:b/>
          <w:i/>
        </w:rPr>
        <w:t>and to ensure a resource-efficient retransmission mechanism</w:t>
      </w:r>
      <w:r w:rsidR="004D4A34" w:rsidRPr="00462813">
        <w:rPr>
          <w:b/>
        </w:rPr>
        <w:t>.</w:t>
      </w:r>
    </w:p>
    <w:p w:rsidR="004C32E0" w:rsidRPr="004C32E0" w:rsidRDefault="004C32E0" w:rsidP="004C32E0">
      <w:pPr>
        <w:pStyle w:val="Heading2"/>
        <w:rPr>
          <w:iCs w:val="0"/>
        </w:rPr>
      </w:pPr>
      <w:r w:rsidRPr="004C32E0">
        <w:t>Retransmission method</w:t>
      </w:r>
    </w:p>
    <w:p w:rsidR="00387C13" w:rsidRDefault="00462813" w:rsidP="004C32E0">
      <w:pPr>
        <w:overflowPunct/>
        <w:autoSpaceDE/>
        <w:autoSpaceDN/>
        <w:adjustRightInd/>
        <w:spacing w:after="0"/>
        <w:jc w:val="left"/>
        <w:textAlignment w:val="auto"/>
      </w:pPr>
      <w:bookmarkStart w:id="3" w:name="OLE_LINK1"/>
      <w:bookmarkStart w:id="4" w:name="OLE_LINK2"/>
      <w:r>
        <w:t xml:space="preserve">It has been agreed that </w:t>
      </w:r>
      <w:r w:rsidR="00C602BD">
        <w:t xml:space="preserve">for </w:t>
      </w:r>
      <w:r w:rsidR="00387C13">
        <w:t xml:space="preserve">(re)-transmissions of CBGs </w:t>
      </w:r>
      <w:r>
        <w:t>only one TB</w:t>
      </w:r>
      <w:r w:rsidR="00387C13">
        <w:t xml:space="preserve"> shall be allowed for one HARQ process.</w:t>
      </w:r>
      <w:r w:rsidR="00066AD5">
        <w:t xml:space="preserve"> It still could be discussed</w:t>
      </w:r>
      <w:r w:rsidR="00387C13">
        <w:t>, whether one or multiple HARQ processes shall be served in one scheduling grant.</w:t>
      </w:r>
    </w:p>
    <w:p w:rsidR="00387C13" w:rsidRDefault="00387C13" w:rsidP="004C32E0">
      <w:pPr>
        <w:overflowPunct/>
        <w:autoSpaceDE/>
        <w:autoSpaceDN/>
        <w:adjustRightInd/>
        <w:spacing w:after="0"/>
        <w:jc w:val="left"/>
        <w:textAlignment w:val="auto"/>
      </w:pPr>
      <w:r>
        <w:t>For the first option, during one scheduling occasion, only one TB is served at a time (for the same layer).</w:t>
      </w:r>
      <w:r w:rsidR="003C35BC">
        <w:t xml:space="preserve"> When</w:t>
      </w:r>
      <w:r>
        <w:t xml:space="preserve"> only a partial TB is re-transmitted (one or some CBGs), the freed resources can be used to serve other UEs as it is illustrated in figure 3 below, for the case of one or several CBGs got pre-empted.</w:t>
      </w:r>
    </w:p>
    <w:p w:rsidR="00387C13" w:rsidRDefault="00387C13" w:rsidP="004C32E0">
      <w:pPr>
        <w:overflowPunct/>
        <w:autoSpaceDE/>
        <w:autoSpaceDN/>
        <w:adjustRightInd/>
        <w:spacing w:after="0"/>
        <w:jc w:val="left"/>
        <w:textAlignment w:val="auto"/>
      </w:pPr>
    </w:p>
    <w:p w:rsidR="00462813" w:rsidRDefault="00387C13" w:rsidP="00387C13">
      <w:pPr>
        <w:overflowPunct/>
        <w:autoSpaceDE/>
        <w:autoSpaceDN/>
        <w:adjustRightInd/>
        <w:spacing w:after="0"/>
        <w:jc w:val="center"/>
        <w:textAlignment w:val="auto"/>
      </w:pPr>
      <w:r w:rsidRPr="00387C13">
        <w:rPr>
          <w:noProof/>
          <w:lang w:val="sv-SE" w:eastAsia="sv-SE"/>
        </w:rPr>
        <w:drawing>
          <wp:inline distT="0" distB="0" distL="0" distR="0">
            <wp:extent cx="3983970" cy="106269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984033" cy="1062712"/>
                    </a:xfrm>
                    <a:prstGeom prst="rect">
                      <a:avLst/>
                    </a:prstGeom>
                    <a:noFill/>
                    <a:ln w="9525">
                      <a:noFill/>
                      <a:miter lim="800000"/>
                      <a:headEnd/>
                      <a:tailEnd/>
                    </a:ln>
                  </pic:spPr>
                </pic:pic>
              </a:graphicData>
            </a:graphic>
          </wp:inline>
        </w:drawing>
      </w:r>
    </w:p>
    <w:p w:rsidR="00387C13" w:rsidRDefault="00387C13" w:rsidP="00387C13">
      <w:pPr>
        <w:pStyle w:val="Caption"/>
        <w:jc w:val="center"/>
      </w:pPr>
      <w:r>
        <w:t xml:space="preserve">Figure </w:t>
      </w:r>
      <w:r w:rsidR="007A1944">
        <w:fldChar w:fldCharType="begin"/>
      </w:r>
      <w:r w:rsidR="006C625D">
        <w:instrText xml:space="preserve"> SEQ Figure \* ARABIC </w:instrText>
      </w:r>
      <w:r w:rsidR="007A1944">
        <w:fldChar w:fldCharType="separate"/>
      </w:r>
      <w:r w:rsidR="0056122C">
        <w:rPr>
          <w:noProof/>
        </w:rPr>
        <w:t>3</w:t>
      </w:r>
      <w:r w:rsidR="007A1944">
        <w:fldChar w:fldCharType="end"/>
      </w:r>
      <w:r>
        <w:t xml:space="preserve"> – Retransmission in slot N+k of CBGs</w:t>
      </w:r>
      <w:r w:rsidR="003C35BC">
        <w:t xml:space="preserve"> (red field)</w:t>
      </w:r>
      <w:r>
        <w:t xml:space="preserve"> from the same TB as initially transmitted in slot N</w:t>
      </w:r>
    </w:p>
    <w:p w:rsidR="0056122C" w:rsidRPr="0028731A" w:rsidRDefault="0056122C" w:rsidP="0056122C">
      <w:pPr>
        <w:rPr>
          <w:b/>
          <w:i/>
        </w:rPr>
      </w:pPr>
      <w:r w:rsidRPr="0028731A">
        <w:rPr>
          <w:b/>
          <w:i/>
        </w:rPr>
        <w:lastRenderedPageBreak/>
        <w:t xml:space="preserve">Proposal </w:t>
      </w:r>
      <w:r w:rsidR="003C35BC" w:rsidRPr="0028731A">
        <w:rPr>
          <w:b/>
          <w:i/>
        </w:rPr>
        <w:t>7</w:t>
      </w:r>
      <w:r w:rsidRPr="0028731A">
        <w:rPr>
          <w:b/>
          <w:i/>
        </w:rPr>
        <w:t xml:space="preserve">: </w:t>
      </w:r>
      <w:r w:rsidR="003C35BC" w:rsidRPr="0028731A">
        <w:rPr>
          <w:b/>
          <w:i/>
        </w:rPr>
        <w:t>T</w:t>
      </w:r>
      <w:r w:rsidRPr="0028731A">
        <w:rPr>
          <w:b/>
          <w:i/>
        </w:rPr>
        <w:t xml:space="preserve">he freed resources that are not needed during re-transmission </w:t>
      </w:r>
      <w:r w:rsidR="003C35BC" w:rsidRPr="0028731A">
        <w:rPr>
          <w:b/>
          <w:i/>
        </w:rPr>
        <w:t xml:space="preserve">of partial TB </w:t>
      </w:r>
      <w:r w:rsidRPr="0028731A">
        <w:rPr>
          <w:b/>
          <w:i/>
        </w:rPr>
        <w:t>can be utilized to schedule data to other UEs.</w:t>
      </w:r>
    </w:p>
    <w:p w:rsidR="003C35BC" w:rsidRDefault="003C35BC" w:rsidP="004C32E0">
      <w:pPr>
        <w:overflowPunct/>
        <w:autoSpaceDE/>
        <w:autoSpaceDN/>
        <w:adjustRightInd/>
        <w:spacing w:after="0"/>
        <w:jc w:val="left"/>
        <w:textAlignment w:val="auto"/>
      </w:pPr>
      <w:r>
        <w:t xml:space="preserve">The concept which is </w:t>
      </w:r>
      <w:r w:rsidR="00F35DA9">
        <w:t xml:space="preserve">illustrated </w:t>
      </w:r>
      <w:r>
        <w:t>in F</w:t>
      </w:r>
      <w:r w:rsidR="00F35DA9">
        <w:t xml:space="preserve">igure 3 above will probably </w:t>
      </w:r>
      <w:r>
        <w:t xml:space="preserve">be </w:t>
      </w:r>
      <w:r w:rsidR="00F35DA9">
        <w:t xml:space="preserve">sufficient to improve the system throughput in case many UEs need to be served.  </w:t>
      </w:r>
    </w:p>
    <w:p w:rsidR="003C35BC" w:rsidRDefault="003C35BC" w:rsidP="004C32E0">
      <w:pPr>
        <w:overflowPunct/>
        <w:autoSpaceDE/>
        <w:autoSpaceDN/>
        <w:adjustRightInd/>
        <w:spacing w:after="0"/>
        <w:jc w:val="left"/>
        <w:textAlignment w:val="auto"/>
      </w:pPr>
    </w:p>
    <w:p w:rsidR="00387C13" w:rsidRDefault="00F35DA9" w:rsidP="004C32E0">
      <w:pPr>
        <w:overflowPunct/>
        <w:autoSpaceDE/>
        <w:autoSpaceDN/>
        <w:adjustRightInd/>
        <w:spacing w:after="0"/>
        <w:jc w:val="left"/>
        <w:textAlignment w:val="auto"/>
      </w:pPr>
      <w:r>
        <w:t>For the case that one wants to improve the throughput to one particular UE, it could be considered to send data from two TBs during one scheduling occasion</w:t>
      </w:r>
      <w:r w:rsidR="00024751">
        <w:t>. I</w:t>
      </w:r>
      <w:r>
        <w:t xml:space="preserve">t could </w:t>
      </w:r>
      <w:r w:rsidR="00024751">
        <w:t xml:space="preserve">for example </w:t>
      </w:r>
      <w:r>
        <w:t>be considered to serve two HARQ processes</w:t>
      </w:r>
      <w:r w:rsidR="003C35BC">
        <w:t xml:space="preserve"> on the same layer</w:t>
      </w:r>
      <w:r>
        <w:t xml:space="preserve"> in one scheduling grant</w:t>
      </w:r>
      <w:r w:rsidR="00024751">
        <w:t>, or to let two TBs correspond to one HARQ process</w:t>
      </w:r>
      <w:r>
        <w:t xml:space="preserve">. </w:t>
      </w:r>
      <w:r w:rsidR="0056122C">
        <w:t>This is illustrated in Figure 4 below</w:t>
      </w:r>
      <w:r w:rsidR="008D7AF8">
        <w:t>. Further details on this approach are described in the companion contributi</w:t>
      </w:r>
      <w:r w:rsidR="002B52FA">
        <w:t>on [2].</w:t>
      </w:r>
      <w:r>
        <w:t xml:space="preserve">   </w:t>
      </w:r>
    </w:p>
    <w:p w:rsidR="0056122C" w:rsidRDefault="0056122C" w:rsidP="0056122C">
      <w:pPr>
        <w:overflowPunct/>
        <w:autoSpaceDE/>
        <w:autoSpaceDN/>
        <w:adjustRightInd/>
        <w:spacing w:after="0"/>
        <w:jc w:val="center"/>
        <w:textAlignment w:val="auto"/>
      </w:pPr>
      <w:r>
        <w:object w:dxaOrig="3961" w:dyaOrig="4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219.15pt" o:ole="">
            <v:imagedata r:id="rId11" o:title=""/>
          </v:shape>
          <o:OLEObject Type="Embed" ProgID="Visio.Drawing.11" ShapeID="_x0000_i1025" DrawAspect="Content" ObjectID="_1555488664" r:id="rId12"/>
        </w:object>
      </w:r>
    </w:p>
    <w:p w:rsidR="0056122C" w:rsidRDefault="0056122C" w:rsidP="0056122C">
      <w:pPr>
        <w:pStyle w:val="Caption"/>
        <w:jc w:val="center"/>
      </w:pPr>
      <w:r>
        <w:t xml:space="preserve">Figure </w:t>
      </w:r>
      <w:r w:rsidR="007A1944">
        <w:fldChar w:fldCharType="begin"/>
      </w:r>
      <w:r w:rsidR="006C625D">
        <w:instrText xml:space="preserve"> SEQ Figure \* ARABIC </w:instrText>
      </w:r>
      <w:r w:rsidR="007A1944">
        <w:fldChar w:fldCharType="separate"/>
      </w:r>
      <w:r>
        <w:rPr>
          <w:noProof/>
        </w:rPr>
        <w:t>4</w:t>
      </w:r>
      <w:r w:rsidR="007A1944">
        <w:fldChar w:fldCharType="end"/>
      </w:r>
      <w:r>
        <w:t xml:space="preserve"> – (Re)-transmission of multiple HARQ processes for one layer in one scheduling grant</w:t>
      </w:r>
    </w:p>
    <w:p w:rsidR="002E1654" w:rsidRPr="0028731A" w:rsidRDefault="0056122C" w:rsidP="003C35BC">
      <w:pPr>
        <w:overflowPunct/>
        <w:autoSpaceDE/>
        <w:autoSpaceDN/>
        <w:adjustRightInd/>
        <w:spacing w:after="0"/>
        <w:jc w:val="left"/>
        <w:textAlignment w:val="auto"/>
        <w:rPr>
          <w:b/>
          <w:i/>
        </w:rPr>
      </w:pPr>
      <w:r w:rsidRPr="0028731A">
        <w:rPr>
          <w:b/>
          <w:i/>
        </w:rPr>
        <w:t xml:space="preserve">Proposal </w:t>
      </w:r>
      <w:r w:rsidR="003C35BC" w:rsidRPr="0028731A">
        <w:rPr>
          <w:b/>
          <w:i/>
        </w:rPr>
        <w:t>8</w:t>
      </w:r>
      <w:r w:rsidRPr="0028731A">
        <w:rPr>
          <w:b/>
          <w:i/>
        </w:rPr>
        <w:t xml:space="preserve">: </w:t>
      </w:r>
      <w:r w:rsidR="008D7AF8" w:rsidRPr="0028731A">
        <w:rPr>
          <w:b/>
          <w:i/>
        </w:rPr>
        <w:t xml:space="preserve">In order to improve the data throughput to one particular UE, RAN1 </w:t>
      </w:r>
      <w:r w:rsidR="003C35BC" w:rsidRPr="0028731A">
        <w:rPr>
          <w:b/>
          <w:i/>
        </w:rPr>
        <w:t>c</w:t>
      </w:r>
      <w:r w:rsidR="008D7AF8" w:rsidRPr="0028731A">
        <w:rPr>
          <w:b/>
          <w:i/>
        </w:rPr>
        <w:t>ould study the feasi</w:t>
      </w:r>
      <w:r w:rsidR="003C35BC" w:rsidRPr="0028731A">
        <w:rPr>
          <w:b/>
          <w:i/>
        </w:rPr>
        <w:t xml:space="preserve">bility to serve multiple TBs in </w:t>
      </w:r>
      <w:r w:rsidR="008D7AF8" w:rsidRPr="0028731A">
        <w:rPr>
          <w:b/>
          <w:i/>
        </w:rPr>
        <w:t xml:space="preserve">one </w:t>
      </w:r>
      <w:r w:rsidR="003C35BC" w:rsidRPr="0028731A">
        <w:rPr>
          <w:b/>
          <w:i/>
        </w:rPr>
        <w:t xml:space="preserve">layer within one </w:t>
      </w:r>
      <w:r w:rsidR="008D7AF8" w:rsidRPr="0028731A">
        <w:rPr>
          <w:b/>
          <w:i/>
        </w:rPr>
        <w:t>scheduling grant.</w:t>
      </w:r>
      <w:bookmarkEnd w:id="3"/>
      <w:bookmarkEnd w:id="4"/>
    </w:p>
    <w:p w:rsidR="0069792A"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Default="008D0CAD" w:rsidP="00024751">
      <w:pPr>
        <w:pStyle w:val="B1"/>
        <w:tabs>
          <w:tab w:val="left" w:pos="7763"/>
        </w:tabs>
        <w:spacing w:after="120" w:line="240" w:lineRule="exact"/>
        <w:ind w:left="0" w:firstLine="0"/>
        <w:rPr>
          <w:szCs w:val="22"/>
        </w:rPr>
      </w:pPr>
      <w:r w:rsidRPr="007F35FE">
        <w:rPr>
          <w:szCs w:val="22"/>
        </w:rPr>
        <w:t>Based on</w:t>
      </w:r>
      <w:r w:rsidR="00E15A12" w:rsidRPr="007F35FE">
        <w:rPr>
          <w:szCs w:val="22"/>
        </w:rPr>
        <w:t xml:space="preserve"> the analysis given above, we have the following proposals:</w:t>
      </w:r>
      <w:r w:rsidR="00024751">
        <w:rPr>
          <w:szCs w:val="22"/>
        </w:rPr>
        <w:tab/>
      </w:r>
    </w:p>
    <w:p w:rsidR="00024751" w:rsidRPr="0028731A" w:rsidRDefault="00024751" w:rsidP="00024751">
      <w:pPr>
        <w:rPr>
          <w:b/>
          <w:i/>
          <w:szCs w:val="22"/>
          <w:lang w:val="en-US"/>
        </w:rPr>
      </w:pPr>
      <w:r w:rsidRPr="0028731A">
        <w:rPr>
          <w:b/>
          <w:i/>
          <w:szCs w:val="22"/>
          <w:lang w:val="en-US"/>
        </w:rPr>
        <w:t>Proposal 1: In the HARQ feedback mechanism, each CBG is addressed with a unique identifier.</w:t>
      </w:r>
    </w:p>
    <w:p w:rsidR="00024751" w:rsidRPr="0028731A" w:rsidRDefault="00024751" w:rsidP="00024751">
      <w:pPr>
        <w:rPr>
          <w:b/>
          <w:i/>
          <w:szCs w:val="22"/>
          <w:lang w:val="en-US"/>
        </w:rPr>
      </w:pPr>
      <w:r w:rsidRPr="0028731A">
        <w:rPr>
          <w:b/>
          <w:i/>
          <w:szCs w:val="22"/>
          <w:lang w:val="en-US"/>
        </w:rPr>
        <w:t>Proposal 2: If RAN1 agrees on the support of sub-sequent DL transmissions of CBGs, a CBG indication shall be included in scheduling grant. FFS for the case if no-subsequent DL transmission is supported.</w:t>
      </w:r>
    </w:p>
    <w:p w:rsidR="00024751" w:rsidRPr="0028731A" w:rsidRDefault="00024751" w:rsidP="00024751">
      <w:pPr>
        <w:rPr>
          <w:b/>
          <w:i/>
          <w:szCs w:val="22"/>
          <w:lang w:val="en-US"/>
        </w:rPr>
      </w:pPr>
      <w:r w:rsidRPr="0028731A">
        <w:rPr>
          <w:b/>
          <w:i/>
          <w:szCs w:val="22"/>
          <w:lang w:val="en-US"/>
        </w:rPr>
        <w:lastRenderedPageBreak/>
        <w:t>Proposal 3: For UL CBG transmission, a CBG indication is supported.</w:t>
      </w:r>
    </w:p>
    <w:p w:rsidR="00024751" w:rsidRPr="00D227E3" w:rsidRDefault="00024751" w:rsidP="00024751">
      <w:pPr>
        <w:rPr>
          <w:b/>
          <w:i/>
          <w:szCs w:val="22"/>
        </w:rPr>
      </w:pPr>
      <w:r w:rsidRPr="0028731A">
        <w:rPr>
          <w:b/>
          <w:i/>
          <w:szCs w:val="22"/>
          <w:lang w:val="en-US"/>
        </w:rPr>
        <w:t>Proposal 4: RAN1 shall agree on the maximum number of CBGs that maybe contained in one TB.</w:t>
      </w:r>
      <w:r>
        <w:rPr>
          <w:b/>
          <w:i/>
          <w:szCs w:val="22"/>
          <w:lang w:val="en-US"/>
        </w:rPr>
        <w:t xml:space="preserve"> </w:t>
      </w:r>
      <w:r w:rsidRPr="00D227E3">
        <w:rPr>
          <w:b/>
          <w:i/>
        </w:rPr>
        <w:t>The</w:t>
      </w:r>
      <w:r>
        <w:rPr>
          <w:b/>
          <w:i/>
        </w:rPr>
        <w:t xml:space="preserve"> chosen value should ensure that</w:t>
      </w:r>
      <w:r w:rsidRPr="00D227E3">
        <w:rPr>
          <w:b/>
          <w:i/>
        </w:rPr>
        <w:t xml:space="preserve"> PUCCH overhead </w:t>
      </w:r>
      <w:r>
        <w:rPr>
          <w:b/>
          <w:i/>
        </w:rPr>
        <w:t>is</w:t>
      </w:r>
      <w:r w:rsidRPr="00D227E3">
        <w:rPr>
          <w:b/>
          <w:i/>
        </w:rPr>
        <w:t xml:space="preserve"> kept small</w:t>
      </w:r>
      <w:r>
        <w:rPr>
          <w:b/>
          <w:i/>
        </w:rPr>
        <w:t xml:space="preserve"> and an efficient </w:t>
      </w:r>
      <w:r w:rsidRPr="00D227E3">
        <w:rPr>
          <w:b/>
          <w:i/>
        </w:rPr>
        <w:t>CBG to OFDM symbol mapping</w:t>
      </w:r>
      <w:r>
        <w:rPr>
          <w:b/>
          <w:i/>
        </w:rPr>
        <w:t xml:space="preserve"> will be possible.</w:t>
      </w:r>
      <w:r w:rsidRPr="00D227E3">
        <w:rPr>
          <w:b/>
          <w:i/>
        </w:rPr>
        <w:t xml:space="preserve"> </w:t>
      </w:r>
    </w:p>
    <w:p w:rsidR="00024751" w:rsidRPr="0028731A" w:rsidRDefault="00024751" w:rsidP="00024751">
      <w:pPr>
        <w:overflowPunct/>
        <w:autoSpaceDE/>
        <w:autoSpaceDN/>
        <w:adjustRightInd/>
        <w:spacing w:after="0"/>
        <w:jc w:val="left"/>
        <w:textAlignment w:val="auto"/>
        <w:rPr>
          <w:rFonts w:eastAsia="MS Mincho"/>
          <w:b/>
          <w:i/>
          <w:iCs/>
          <w:lang w:val="en-US" w:eastAsia="ja-JP"/>
        </w:rPr>
      </w:pPr>
      <w:r w:rsidRPr="0028731A">
        <w:rPr>
          <w:b/>
          <w:i/>
        </w:rPr>
        <w:t xml:space="preserve">Proposal 5:  </w:t>
      </w:r>
      <w:r w:rsidRPr="0028731A">
        <w:rPr>
          <w:rFonts w:eastAsia="MS Mincho"/>
          <w:b/>
          <w:i/>
          <w:iCs/>
          <w:lang w:val="en-US" w:eastAsia="ja-JP"/>
        </w:rPr>
        <w:t>For grouping CB(s) into CBG(s), the following option shall be adopted.</w:t>
      </w:r>
    </w:p>
    <w:p w:rsidR="00024751" w:rsidRPr="0028731A" w:rsidRDefault="00024751" w:rsidP="00024751">
      <w:pPr>
        <w:numPr>
          <w:ilvl w:val="0"/>
          <w:numId w:val="29"/>
        </w:numPr>
        <w:overflowPunct/>
        <w:autoSpaceDE/>
        <w:autoSpaceDN/>
        <w:adjustRightInd/>
        <w:spacing w:after="0"/>
        <w:jc w:val="left"/>
        <w:textAlignment w:val="auto"/>
        <w:rPr>
          <w:rFonts w:eastAsia="MS Mincho"/>
          <w:b/>
          <w:i/>
          <w:iCs/>
          <w:lang w:val="en-US" w:eastAsia="ja-JP"/>
        </w:rPr>
      </w:pPr>
      <w:r w:rsidRPr="0028731A">
        <w:rPr>
          <w:rFonts w:eastAsia="MS Mincho"/>
          <w:b/>
          <w:i/>
          <w:iCs/>
          <w:lang w:val="en-US" w:eastAsia="ja-JP"/>
        </w:rPr>
        <w:t>Option 1: With configured number of CBGs, the number of CBs in a CBG changes according to TBS.</w:t>
      </w:r>
    </w:p>
    <w:p w:rsidR="00024751" w:rsidRPr="0028731A" w:rsidRDefault="00024751" w:rsidP="00024751">
      <w:pPr>
        <w:numPr>
          <w:ilvl w:val="1"/>
          <w:numId w:val="29"/>
        </w:numPr>
        <w:tabs>
          <w:tab w:val="num" w:pos="2160"/>
        </w:tabs>
        <w:overflowPunct/>
        <w:autoSpaceDE/>
        <w:autoSpaceDN/>
        <w:adjustRightInd/>
        <w:spacing w:after="0"/>
        <w:jc w:val="left"/>
        <w:textAlignment w:val="auto"/>
        <w:rPr>
          <w:rFonts w:eastAsia="MS Mincho"/>
          <w:b/>
          <w:i/>
          <w:iCs/>
          <w:lang w:val="en-US" w:eastAsia="ja-JP"/>
        </w:rPr>
      </w:pPr>
      <w:r w:rsidRPr="0028731A">
        <w:rPr>
          <w:rFonts w:eastAsia="MS Mincho"/>
          <w:b/>
          <w:i/>
          <w:iCs/>
          <w:lang w:val="en-US" w:eastAsia="ja-JP"/>
        </w:rPr>
        <w:t>FFS for the case of re-transmission or the case when the number of CBs is smaller than the configured number of CBGs</w:t>
      </w:r>
    </w:p>
    <w:p w:rsidR="00024751" w:rsidRDefault="00024751" w:rsidP="00024751">
      <w:pPr>
        <w:rPr>
          <w:rFonts w:eastAsia="MS Mincho"/>
          <w:szCs w:val="22"/>
          <w:lang w:val="en-US"/>
        </w:rPr>
      </w:pPr>
    </w:p>
    <w:p w:rsidR="001230CF" w:rsidRPr="00C602BD" w:rsidRDefault="001230CF" w:rsidP="001230CF">
      <w:pPr>
        <w:rPr>
          <w:b/>
        </w:rPr>
      </w:pPr>
      <w:r w:rsidRPr="0028731A">
        <w:rPr>
          <w:b/>
          <w:i/>
        </w:rPr>
        <w:t xml:space="preserve">Proposal 6: </w:t>
      </w:r>
      <w:r>
        <w:rPr>
          <w:b/>
          <w:i/>
        </w:rPr>
        <w:t xml:space="preserve">The possibility shall be given to map CBs in a </w:t>
      </w:r>
      <w:r w:rsidRPr="0028731A">
        <w:rPr>
          <w:b/>
          <w:i/>
        </w:rPr>
        <w:t>frequency-first</w:t>
      </w:r>
      <w:r>
        <w:rPr>
          <w:b/>
          <w:i/>
        </w:rPr>
        <w:t xml:space="preserve"> manner onto</w:t>
      </w:r>
      <w:r w:rsidRPr="0028731A">
        <w:rPr>
          <w:b/>
          <w:i/>
        </w:rPr>
        <w:t xml:space="preserve"> the physical resources to facilitate pipelin</w:t>
      </w:r>
      <w:r>
        <w:rPr>
          <w:b/>
          <w:i/>
        </w:rPr>
        <w:t xml:space="preserve">ing in the decoder </w:t>
      </w:r>
      <w:r w:rsidRPr="0028731A">
        <w:rPr>
          <w:b/>
          <w:i/>
        </w:rPr>
        <w:t>and to ensure a resource-efficient retransmission mechanism</w:t>
      </w:r>
      <w:r w:rsidRPr="00462813">
        <w:rPr>
          <w:b/>
        </w:rPr>
        <w:t>.</w:t>
      </w:r>
    </w:p>
    <w:p w:rsidR="00024751" w:rsidRPr="0028731A" w:rsidRDefault="00024751" w:rsidP="00024751">
      <w:pPr>
        <w:rPr>
          <w:b/>
          <w:i/>
        </w:rPr>
      </w:pPr>
      <w:r w:rsidRPr="0028731A">
        <w:rPr>
          <w:b/>
          <w:i/>
        </w:rPr>
        <w:t>Proposal 7: The freed resources that are not needed during re-transmission of partial TB can be utilized to schedule data to other UEs.</w:t>
      </w:r>
    </w:p>
    <w:p w:rsidR="00024751" w:rsidRPr="0028731A" w:rsidRDefault="00024751" w:rsidP="00024751">
      <w:pPr>
        <w:overflowPunct/>
        <w:autoSpaceDE/>
        <w:autoSpaceDN/>
        <w:adjustRightInd/>
        <w:spacing w:after="0"/>
        <w:jc w:val="left"/>
        <w:textAlignment w:val="auto"/>
        <w:rPr>
          <w:b/>
          <w:i/>
        </w:rPr>
      </w:pPr>
      <w:r w:rsidRPr="0028731A">
        <w:rPr>
          <w:b/>
          <w:i/>
        </w:rPr>
        <w:t>Proposal 8: In order to improve the data throughput to one particular UE, RAN1 could study the feasibility to serve multiple TBs in one layer within one scheduling grant.</w:t>
      </w:r>
    </w:p>
    <w:p w:rsidR="00024751" w:rsidRPr="00024751" w:rsidRDefault="00024751" w:rsidP="00024751">
      <w:pPr>
        <w:pStyle w:val="B1"/>
        <w:tabs>
          <w:tab w:val="left" w:pos="7763"/>
        </w:tabs>
        <w:spacing w:after="120" w:line="240" w:lineRule="exact"/>
        <w:ind w:left="0" w:firstLine="0"/>
        <w:rPr>
          <w:szCs w:val="22"/>
        </w:rPr>
      </w:pPr>
    </w:p>
    <w:p w:rsidR="0069792A"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r w:rsidR="00AD692F">
        <w:rPr>
          <w:rFonts w:eastAsia="SimSun"/>
        </w:rPr>
        <w:t>s</w:t>
      </w:r>
    </w:p>
    <w:p w:rsidR="00E15A12" w:rsidRPr="007F35FE" w:rsidRDefault="00005DB8" w:rsidP="008D0CAD">
      <w:pPr>
        <w:snapToGrid w:val="0"/>
        <w:spacing w:after="120"/>
        <w:rPr>
          <w:rFonts w:eastAsiaTheme="minorEastAsia"/>
          <w:szCs w:val="22"/>
          <w:lang w:eastAsia="zh-CN"/>
        </w:rPr>
      </w:pPr>
      <w:r w:rsidRPr="007F35FE">
        <w:rPr>
          <w:szCs w:val="22"/>
        </w:rPr>
        <w:t>[</w:t>
      </w:r>
      <w:r w:rsidR="00A91F5C" w:rsidRPr="007F35FE">
        <w:rPr>
          <w:szCs w:val="22"/>
        </w:rPr>
        <w:t>1</w:t>
      </w:r>
      <w:r w:rsidRPr="007F35FE">
        <w:rPr>
          <w:szCs w:val="22"/>
        </w:rPr>
        <w:t xml:space="preserve">] </w:t>
      </w:r>
      <w:r w:rsidR="007C235D" w:rsidRPr="007F35FE">
        <w:rPr>
          <w:szCs w:val="22"/>
        </w:rPr>
        <w:t>3GPP Chairman's Notes RAN1_</w:t>
      </w:r>
      <w:r w:rsidR="00F2113D" w:rsidRPr="007F35FE">
        <w:rPr>
          <w:rFonts w:eastAsiaTheme="minorEastAsia" w:hint="eastAsia"/>
          <w:szCs w:val="22"/>
          <w:lang w:eastAsia="zh-CN"/>
        </w:rPr>
        <w:t>8</w:t>
      </w:r>
      <w:r w:rsidR="00F2113D">
        <w:rPr>
          <w:rFonts w:eastAsiaTheme="minorEastAsia" w:hint="eastAsia"/>
          <w:szCs w:val="22"/>
          <w:lang w:eastAsia="zh-CN"/>
        </w:rPr>
        <w:t>9</w:t>
      </w:r>
      <w:r w:rsidR="00E42E93" w:rsidRPr="007F35FE">
        <w:rPr>
          <w:rFonts w:eastAsiaTheme="minorEastAsia" w:hint="eastAsia"/>
          <w:szCs w:val="22"/>
          <w:lang w:eastAsia="zh-CN"/>
        </w:rPr>
        <w:t>_final</w:t>
      </w:r>
    </w:p>
    <w:p w:rsidR="008545D3" w:rsidRPr="007F35FE" w:rsidRDefault="008545D3" w:rsidP="008545D3">
      <w:pPr>
        <w:snapToGrid w:val="0"/>
        <w:spacing w:after="120"/>
        <w:rPr>
          <w:szCs w:val="22"/>
        </w:rPr>
      </w:pPr>
      <w:r w:rsidRPr="007F35FE">
        <w:rPr>
          <w:szCs w:val="22"/>
        </w:rPr>
        <w:t>[</w:t>
      </w:r>
      <w:r w:rsidRPr="007F35FE">
        <w:rPr>
          <w:rFonts w:eastAsiaTheme="minorEastAsia" w:hint="eastAsia"/>
          <w:szCs w:val="22"/>
          <w:lang w:eastAsia="zh-CN"/>
        </w:rPr>
        <w:t>2</w:t>
      </w:r>
      <w:r w:rsidRPr="007F35FE">
        <w:rPr>
          <w:szCs w:val="22"/>
        </w:rPr>
        <w:t xml:space="preserve">] </w:t>
      </w:r>
      <w:r w:rsidR="002B52FA">
        <w:rPr>
          <w:szCs w:val="22"/>
        </w:rPr>
        <w:t>R1-1708217, “Design considerations for CBG transmission from two TBs”, ZTE</w:t>
      </w:r>
    </w:p>
    <w:sectPr w:rsidR="008545D3" w:rsidRPr="007F35FE" w:rsidSect="00566EF6">
      <w:footerReference w:type="default" r:id="rId1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3E4" w:rsidRPr="00DC0A95" w:rsidRDefault="00CA33E4" w:rsidP="00BF3519">
      <w:pPr>
        <w:spacing w:after="0"/>
        <w:rPr>
          <w:rFonts w:ascii="Arial" w:eastAsia="SimSun" w:hAnsi="Arial" w:cs="Arial"/>
          <w:color w:val="0000FF"/>
          <w:kern w:val="2"/>
          <w:lang w:val="en-US" w:eastAsia="zh-CN"/>
        </w:rPr>
      </w:pPr>
      <w:r>
        <w:separator/>
      </w:r>
    </w:p>
  </w:endnote>
  <w:endnote w:type="continuationSeparator" w:id="0">
    <w:p w:rsidR="00CA33E4" w:rsidRPr="00DC0A95" w:rsidRDefault="00CA33E4"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1D6" w:rsidRDefault="007A1944">
    <w:pPr>
      <w:pStyle w:val="Footer"/>
      <w:jc w:val="center"/>
    </w:pPr>
    <w:fldSimple w:instr=" PAGE   \* MERGEFORMAT ">
      <w:r w:rsidR="008E62A9">
        <w:rPr>
          <w:noProof/>
        </w:rPr>
        <w:t>5</w:t>
      </w:r>
    </w:fldSimple>
  </w:p>
  <w:p w:rsidR="008501D6" w:rsidRDefault="008501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3E4" w:rsidRPr="00DC0A95" w:rsidRDefault="00CA33E4" w:rsidP="00BF3519">
      <w:pPr>
        <w:spacing w:after="0"/>
        <w:rPr>
          <w:rFonts w:ascii="Arial" w:eastAsia="SimSun" w:hAnsi="Arial" w:cs="Arial"/>
          <w:color w:val="0000FF"/>
          <w:kern w:val="2"/>
          <w:lang w:val="en-US" w:eastAsia="zh-CN"/>
        </w:rPr>
      </w:pPr>
      <w:r>
        <w:separator/>
      </w:r>
    </w:p>
  </w:footnote>
  <w:footnote w:type="continuationSeparator" w:id="0">
    <w:p w:rsidR="00CA33E4" w:rsidRPr="00DC0A95" w:rsidRDefault="00CA33E4"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0636B18"/>
    <w:multiLevelType w:val="hybridMultilevel"/>
    <w:tmpl w:val="34DC60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6">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7">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nsid w:val="270522B2"/>
    <w:multiLevelType w:val="hybridMultilevel"/>
    <w:tmpl w:val="7FFEA536"/>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9">
    <w:nsid w:val="2F62784A"/>
    <w:multiLevelType w:val="hybridMultilevel"/>
    <w:tmpl w:val="01183C98"/>
    <w:lvl w:ilvl="0" w:tplc="041D0001">
      <w:start w:val="1"/>
      <w:numFmt w:val="bullet"/>
      <w:lvlText w:val=""/>
      <w:lvlJc w:val="left"/>
      <w:pPr>
        <w:ind w:left="758" w:hanging="360"/>
      </w:pPr>
      <w:rPr>
        <w:rFonts w:ascii="Symbol" w:hAnsi="Symbol" w:hint="default"/>
      </w:rPr>
    </w:lvl>
    <w:lvl w:ilvl="1" w:tplc="041D0003">
      <w:start w:val="1"/>
      <w:numFmt w:val="bullet"/>
      <w:lvlText w:val="o"/>
      <w:lvlJc w:val="left"/>
      <w:pPr>
        <w:ind w:left="1478" w:hanging="360"/>
      </w:pPr>
      <w:rPr>
        <w:rFonts w:ascii="Courier New" w:hAnsi="Courier New" w:cs="Courier New" w:hint="default"/>
      </w:rPr>
    </w:lvl>
    <w:lvl w:ilvl="2" w:tplc="041D0005">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0">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71B442F"/>
    <w:multiLevelType w:val="hybridMultilevel"/>
    <w:tmpl w:val="9EB62712"/>
    <w:lvl w:ilvl="0" w:tplc="E2F8EE4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5B5E2F"/>
    <w:multiLevelType w:val="hybridMultilevel"/>
    <w:tmpl w:val="F0904594"/>
    <w:lvl w:ilvl="0" w:tplc="041D0001">
      <w:start w:val="1"/>
      <w:numFmt w:val="bullet"/>
      <w:lvlText w:val=""/>
      <w:lvlJc w:val="left"/>
      <w:pPr>
        <w:ind w:left="758" w:hanging="360"/>
      </w:pPr>
      <w:rPr>
        <w:rFonts w:ascii="Symbol" w:hAnsi="Symbol" w:hint="default"/>
      </w:rPr>
    </w:lvl>
    <w:lvl w:ilvl="1" w:tplc="041D0003">
      <w:start w:val="1"/>
      <w:numFmt w:val="bullet"/>
      <w:lvlText w:val="o"/>
      <w:lvlJc w:val="left"/>
      <w:pPr>
        <w:ind w:left="1478" w:hanging="360"/>
      </w:pPr>
      <w:rPr>
        <w:rFonts w:ascii="Courier New" w:hAnsi="Courier New" w:cs="Courier New" w:hint="default"/>
      </w:rPr>
    </w:lvl>
    <w:lvl w:ilvl="2" w:tplc="041D0005">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5">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7">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0">
    <w:nsid w:val="6A046586"/>
    <w:multiLevelType w:val="hybridMultilevel"/>
    <w:tmpl w:val="46629BF8"/>
    <w:lvl w:ilvl="0" w:tplc="07A457DE">
      <w:start w:val="1"/>
      <w:numFmt w:val="bullet"/>
      <w:lvlText w:val="•"/>
      <w:lvlJc w:val="left"/>
      <w:pPr>
        <w:tabs>
          <w:tab w:val="num" w:pos="720"/>
        </w:tabs>
        <w:ind w:left="720" w:hanging="360"/>
      </w:pPr>
      <w:rPr>
        <w:rFonts w:ascii="MS PGothic" w:hAnsi="MS PGothic" w:hint="default"/>
      </w:rPr>
    </w:lvl>
    <w:lvl w:ilvl="1" w:tplc="3FCCFE82">
      <w:numFmt w:val="bullet"/>
      <w:lvlText w:val="–"/>
      <w:lvlJc w:val="left"/>
      <w:pPr>
        <w:tabs>
          <w:tab w:val="num" w:pos="1440"/>
        </w:tabs>
        <w:ind w:left="1440" w:hanging="360"/>
      </w:pPr>
      <w:rPr>
        <w:rFonts w:ascii="MS PGothic" w:hAnsi="MS PGothic" w:hint="default"/>
      </w:rPr>
    </w:lvl>
    <w:lvl w:ilvl="2" w:tplc="520603DC" w:tentative="1">
      <w:start w:val="1"/>
      <w:numFmt w:val="bullet"/>
      <w:lvlText w:val="•"/>
      <w:lvlJc w:val="left"/>
      <w:pPr>
        <w:tabs>
          <w:tab w:val="num" w:pos="2160"/>
        </w:tabs>
        <w:ind w:left="2160" w:hanging="360"/>
      </w:pPr>
      <w:rPr>
        <w:rFonts w:ascii="MS PGothic" w:hAnsi="MS PGothic" w:hint="default"/>
      </w:rPr>
    </w:lvl>
    <w:lvl w:ilvl="3" w:tplc="6142BF5C" w:tentative="1">
      <w:start w:val="1"/>
      <w:numFmt w:val="bullet"/>
      <w:lvlText w:val="•"/>
      <w:lvlJc w:val="left"/>
      <w:pPr>
        <w:tabs>
          <w:tab w:val="num" w:pos="2880"/>
        </w:tabs>
        <w:ind w:left="2880" w:hanging="360"/>
      </w:pPr>
      <w:rPr>
        <w:rFonts w:ascii="MS PGothic" w:hAnsi="MS PGothic" w:hint="default"/>
      </w:rPr>
    </w:lvl>
    <w:lvl w:ilvl="4" w:tplc="BA5A892E" w:tentative="1">
      <w:start w:val="1"/>
      <w:numFmt w:val="bullet"/>
      <w:lvlText w:val="•"/>
      <w:lvlJc w:val="left"/>
      <w:pPr>
        <w:tabs>
          <w:tab w:val="num" w:pos="3600"/>
        </w:tabs>
        <w:ind w:left="3600" w:hanging="360"/>
      </w:pPr>
      <w:rPr>
        <w:rFonts w:ascii="MS PGothic" w:hAnsi="MS PGothic" w:hint="default"/>
      </w:rPr>
    </w:lvl>
    <w:lvl w:ilvl="5" w:tplc="4DE849A0" w:tentative="1">
      <w:start w:val="1"/>
      <w:numFmt w:val="bullet"/>
      <w:lvlText w:val="•"/>
      <w:lvlJc w:val="left"/>
      <w:pPr>
        <w:tabs>
          <w:tab w:val="num" w:pos="4320"/>
        </w:tabs>
        <w:ind w:left="4320" w:hanging="360"/>
      </w:pPr>
      <w:rPr>
        <w:rFonts w:ascii="MS PGothic" w:hAnsi="MS PGothic" w:hint="default"/>
      </w:rPr>
    </w:lvl>
    <w:lvl w:ilvl="6" w:tplc="EAAC7370" w:tentative="1">
      <w:start w:val="1"/>
      <w:numFmt w:val="bullet"/>
      <w:lvlText w:val="•"/>
      <w:lvlJc w:val="left"/>
      <w:pPr>
        <w:tabs>
          <w:tab w:val="num" w:pos="5040"/>
        </w:tabs>
        <w:ind w:left="5040" w:hanging="360"/>
      </w:pPr>
      <w:rPr>
        <w:rFonts w:ascii="MS PGothic" w:hAnsi="MS PGothic" w:hint="default"/>
      </w:rPr>
    </w:lvl>
    <w:lvl w:ilvl="7" w:tplc="0EB0C9B0" w:tentative="1">
      <w:start w:val="1"/>
      <w:numFmt w:val="bullet"/>
      <w:lvlText w:val="•"/>
      <w:lvlJc w:val="left"/>
      <w:pPr>
        <w:tabs>
          <w:tab w:val="num" w:pos="5760"/>
        </w:tabs>
        <w:ind w:left="5760" w:hanging="360"/>
      </w:pPr>
      <w:rPr>
        <w:rFonts w:ascii="MS PGothic" w:hAnsi="MS PGothic" w:hint="default"/>
      </w:rPr>
    </w:lvl>
    <w:lvl w:ilvl="8" w:tplc="1C32EE14" w:tentative="1">
      <w:start w:val="1"/>
      <w:numFmt w:val="bullet"/>
      <w:lvlText w:val="•"/>
      <w:lvlJc w:val="left"/>
      <w:pPr>
        <w:tabs>
          <w:tab w:val="num" w:pos="6480"/>
        </w:tabs>
        <w:ind w:left="6480" w:hanging="360"/>
      </w:pPr>
      <w:rPr>
        <w:rFonts w:ascii="MS PGothic" w:hAnsi="MS PGothic" w:hint="default"/>
      </w:rPr>
    </w:lvl>
  </w:abstractNum>
  <w:abstractNum w:abstractNumId="21">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2">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2"/>
  </w:num>
  <w:num w:numId="3">
    <w:abstractNumId w:val="1"/>
  </w:num>
  <w:num w:numId="4">
    <w:abstractNumId w:val="12"/>
  </w:num>
  <w:num w:numId="5">
    <w:abstractNumId w:val="13"/>
  </w:num>
  <w:num w:numId="6">
    <w:abstractNumId w:val="18"/>
  </w:num>
  <w:num w:numId="7">
    <w:abstractNumId w:val="2"/>
  </w:num>
  <w:num w:numId="8">
    <w:abstractNumId w:val="15"/>
  </w:num>
  <w:num w:numId="9">
    <w:abstractNumId w:val="10"/>
  </w:num>
  <w:num w:numId="1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9"/>
  </w:num>
  <w:num w:numId="18">
    <w:abstractNumId w:val="16"/>
  </w:num>
  <w:num w:numId="19">
    <w:abstractNumId w:val="20"/>
  </w:num>
  <w:num w:numId="20">
    <w:abstractNumId w:val="21"/>
  </w:num>
  <w:num w:numId="21">
    <w:abstractNumId w:val="3"/>
  </w:num>
  <w:num w:numId="22">
    <w:abstractNumId w:val="11"/>
  </w:num>
  <w:num w:numId="23">
    <w:abstractNumId w:val="6"/>
  </w:num>
  <w:num w:numId="24">
    <w:abstractNumId w:val="2"/>
  </w:num>
  <w:num w:numId="25">
    <w:abstractNumId w:val="2"/>
  </w:num>
  <w:num w:numId="26">
    <w:abstractNumId w:val="2"/>
  </w:num>
  <w:num w:numId="27">
    <w:abstractNumId w:val="8"/>
  </w:num>
  <w:num w:numId="28">
    <w:abstractNumId w:val="9"/>
  </w:num>
  <w:num w:numId="2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90818"/>
  </w:hdrShapeDefault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1E90"/>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33B"/>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75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4FB8"/>
    <w:rsid w:val="000451CD"/>
    <w:rsid w:val="00045217"/>
    <w:rsid w:val="0004539B"/>
    <w:rsid w:val="000456C6"/>
    <w:rsid w:val="00045CC4"/>
    <w:rsid w:val="00046155"/>
    <w:rsid w:val="00046173"/>
    <w:rsid w:val="000461EE"/>
    <w:rsid w:val="00046220"/>
    <w:rsid w:val="00046492"/>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AD5"/>
    <w:rsid w:val="00066EE6"/>
    <w:rsid w:val="00066EFD"/>
    <w:rsid w:val="00066F52"/>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120"/>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0CF"/>
    <w:rsid w:val="0012313B"/>
    <w:rsid w:val="001232F1"/>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141"/>
    <w:rsid w:val="00132659"/>
    <w:rsid w:val="00132679"/>
    <w:rsid w:val="001329BF"/>
    <w:rsid w:val="00133911"/>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6D6"/>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6752"/>
    <w:rsid w:val="001A69E2"/>
    <w:rsid w:val="001A6C28"/>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3EBF"/>
    <w:rsid w:val="0021403B"/>
    <w:rsid w:val="00214265"/>
    <w:rsid w:val="0021433F"/>
    <w:rsid w:val="00214DF0"/>
    <w:rsid w:val="00214EE2"/>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B1"/>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CC"/>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26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1D1"/>
    <w:rsid w:val="0028137A"/>
    <w:rsid w:val="002814E5"/>
    <w:rsid w:val="002816A3"/>
    <w:rsid w:val="00281860"/>
    <w:rsid w:val="002826CC"/>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31A"/>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706"/>
    <w:rsid w:val="002B4FA4"/>
    <w:rsid w:val="002B5296"/>
    <w:rsid w:val="002B52D1"/>
    <w:rsid w:val="002B52FA"/>
    <w:rsid w:val="002B5852"/>
    <w:rsid w:val="002B60BA"/>
    <w:rsid w:val="002B61D2"/>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710"/>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D00"/>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4FEE"/>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8EB"/>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C13"/>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D47"/>
    <w:rsid w:val="003C0E3D"/>
    <w:rsid w:val="003C1071"/>
    <w:rsid w:val="003C1228"/>
    <w:rsid w:val="003C1FC7"/>
    <w:rsid w:val="003C231D"/>
    <w:rsid w:val="003C23A0"/>
    <w:rsid w:val="003C2AC7"/>
    <w:rsid w:val="003C2D74"/>
    <w:rsid w:val="003C2E58"/>
    <w:rsid w:val="003C3249"/>
    <w:rsid w:val="003C326C"/>
    <w:rsid w:val="003C354F"/>
    <w:rsid w:val="003C35BC"/>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05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81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33A"/>
    <w:rsid w:val="00491446"/>
    <w:rsid w:val="00491C14"/>
    <w:rsid w:val="004921B0"/>
    <w:rsid w:val="004922B0"/>
    <w:rsid w:val="004924BA"/>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275"/>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2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4A34"/>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76B"/>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63D"/>
    <w:rsid w:val="00530A0C"/>
    <w:rsid w:val="00530DD5"/>
    <w:rsid w:val="00532810"/>
    <w:rsid w:val="005328A1"/>
    <w:rsid w:val="00532A25"/>
    <w:rsid w:val="00533007"/>
    <w:rsid w:val="0053306F"/>
    <w:rsid w:val="00533F8D"/>
    <w:rsid w:val="00534386"/>
    <w:rsid w:val="005347C4"/>
    <w:rsid w:val="00534F12"/>
    <w:rsid w:val="00535777"/>
    <w:rsid w:val="0053583F"/>
    <w:rsid w:val="005358BC"/>
    <w:rsid w:val="005362A0"/>
    <w:rsid w:val="005372D7"/>
    <w:rsid w:val="0053731E"/>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689"/>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2C"/>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1ED7"/>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14"/>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276"/>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5EF3"/>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25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179"/>
    <w:rsid w:val="0072740E"/>
    <w:rsid w:val="0072773D"/>
    <w:rsid w:val="00727804"/>
    <w:rsid w:val="00727988"/>
    <w:rsid w:val="00727AF4"/>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5FB6"/>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5"/>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3FB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944"/>
    <w:rsid w:val="007A1D52"/>
    <w:rsid w:val="007A207E"/>
    <w:rsid w:val="007A20DD"/>
    <w:rsid w:val="007A22DA"/>
    <w:rsid w:val="007A28F5"/>
    <w:rsid w:val="007A3223"/>
    <w:rsid w:val="007A3511"/>
    <w:rsid w:val="007A353E"/>
    <w:rsid w:val="007A35EE"/>
    <w:rsid w:val="007A3EDF"/>
    <w:rsid w:val="007A4111"/>
    <w:rsid w:val="007A4135"/>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2BE3"/>
    <w:rsid w:val="00823477"/>
    <w:rsid w:val="008235C9"/>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1F9"/>
    <w:rsid w:val="00847615"/>
    <w:rsid w:val="008477F4"/>
    <w:rsid w:val="00847864"/>
    <w:rsid w:val="008501D6"/>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BF2"/>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7C2"/>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C6"/>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AF8"/>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2A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1F1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713"/>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54"/>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6DBC"/>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BCE"/>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626"/>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EA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273"/>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55"/>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5A0"/>
    <w:rsid w:val="00AB35E2"/>
    <w:rsid w:val="00AB37D3"/>
    <w:rsid w:val="00AB3F79"/>
    <w:rsid w:val="00AB40E6"/>
    <w:rsid w:val="00AB5018"/>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17BA6"/>
    <w:rsid w:val="00B20004"/>
    <w:rsid w:val="00B2007D"/>
    <w:rsid w:val="00B205D2"/>
    <w:rsid w:val="00B20D3A"/>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38D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237"/>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DF6"/>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9AA"/>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BD"/>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297"/>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3E4"/>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D"/>
    <w:rsid w:val="00CA7A1D"/>
    <w:rsid w:val="00CA7D74"/>
    <w:rsid w:val="00CA7F72"/>
    <w:rsid w:val="00CB00F0"/>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C12"/>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269"/>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26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7E3"/>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6B12"/>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488"/>
    <w:rsid w:val="00D6062E"/>
    <w:rsid w:val="00D61061"/>
    <w:rsid w:val="00D61293"/>
    <w:rsid w:val="00D61A71"/>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7B"/>
    <w:rsid w:val="00DB4CA9"/>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FFD"/>
    <w:rsid w:val="00DC55A0"/>
    <w:rsid w:val="00DC5B38"/>
    <w:rsid w:val="00DC644B"/>
    <w:rsid w:val="00DC679E"/>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719"/>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68D"/>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197"/>
    <w:rsid w:val="00EC1A53"/>
    <w:rsid w:val="00EC1E62"/>
    <w:rsid w:val="00EC245A"/>
    <w:rsid w:val="00EC251E"/>
    <w:rsid w:val="00EC2A17"/>
    <w:rsid w:val="00EC37FF"/>
    <w:rsid w:val="00EC3A41"/>
    <w:rsid w:val="00EC3A4F"/>
    <w:rsid w:val="00EC3A9A"/>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027"/>
    <w:rsid w:val="00F004F5"/>
    <w:rsid w:val="00F0059F"/>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165"/>
    <w:rsid w:val="00F333A9"/>
    <w:rsid w:val="00F336B7"/>
    <w:rsid w:val="00F33869"/>
    <w:rsid w:val="00F33B51"/>
    <w:rsid w:val="00F34DBC"/>
    <w:rsid w:val="00F352A1"/>
    <w:rsid w:val="00F3561D"/>
    <w:rsid w:val="00F35A5A"/>
    <w:rsid w:val="00F35DA9"/>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4CF3"/>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3FE"/>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 w:type="character" w:customStyle="1" w:styleId="shorttext">
    <w:name w:val="short_text"/>
    <w:basedOn w:val="DefaultParagraphFont"/>
    <w:rsid w:val="007B268A"/>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CE7EE-3201-4A1B-ACE9-8A0A7A7E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1709</Words>
  <Characters>9059</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10747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6</cp:revision>
  <cp:lastPrinted>2011-10-28T13:16:00Z</cp:lastPrinted>
  <dcterms:created xsi:type="dcterms:W3CDTF">2017-05-05T09:00:00Z</dcterms:created>
  <dcterms:modified xsi:type="dcterms:W3CDTF">2017-05-05T09:20:00Z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